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charts/chart17.xml" ContentType="application/vnd.openxmlformats-officedocument.drawingml.chart+xml"/>
  <Override PartName="/word/charts/chart18.xml" ContentType="application/vnd.openxmlformats-officedocument.drawingml.chart+xml"/>
  <Override PartName="/word/charts/chart19.xml" ContentType="application/vnd.openxmlformats-officedocument.drawingml.chart+xml"/>
  <Override PartName="/word/charts/chart20.xml" ContentType="application/vnd.openxmlformats-officedocument.drawingml.chart+xml"/>
  <Override PartName="/word/charts/chart21.xml" ContentType="application/vnd.openxmlformats-officedocument.drawingml.chart+xml"/>
  <Override PartName="/word/charts/chart22.xml" ContentType="application/vnd.openxmlformats-officedocument.drawingml.chart+xml"/>
  <Override PartName="/word/charts/chart23.xml" ContentType="application/vnd.openxmlformats-officedocument.drawingml.chart+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7B49A59F" w14:textId="4132C7B8" w:rsidR="00104C31" w:rsidRDefault="00316233">
      <w:r>
        <w:rPr>
          <w:noProof/>
          <w:lang w:eastAsia="bg-BG"/>
        </w:rPr>
        <mc:AlternateContent>
          <mc:Choice Requires="wps">
            <w:drawing>
              <wp:anchor distT="0" distB="0" distL="114300" distR="114300" simplePos="0" relativeHeight="251650560" behindDoc="0" locked="0" layoutInCell="1" allowOverlap="1" wp14:anchorId="5634901D" wp14:editId="167FD59E">
                <wp:simplePos x="0" y="0"/>
                <wp:positionH relativeFrom="column">
                  <wp:posOffset>1227455</wp:posOffset>
                </wp:positionH>
                <wp:positionV relativeFrom="paragraph">
                  <wp:posOffset>-438785</wp:posOffset>
                </wp:positionV>
                <wp:extent cx="5454650" cy="11135360"/>
                <wp:effectExtent l="3175" t="0" r="9525" b="28575"/>
                <wp:wrapNone/>
                <wp:docPr id="4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54650" cy="11135360"/>
                        </a:xfrm>
                        <a:prstGeom prst="rect">
                          <a:avLst/>
                        </a:prstGeom>
                        <a:gradFill rotWithShape="0">
                          <a:gsLst>
                            <a:gs pos="0">
                              <a:srgbClr val="F79646"/>
                            </a:gs>
                            <a:gs pos="100000">
                              <a:srgbClr val="DF6A09"/>
                            </a:gs>
                          </a:gsLst>
                          <a:path path="shape">
                            <a:fillToRect l="50000" t="50000" r="50000" b="50000"/>
                          </a:path>
                        </a:gradFill>
                        <a:ln>
                          <a:noFill/>
                        </a:ln>
                        <a:effectLst>
                          <a:outerShdw dist="28398" dir="3806097" algn="ctr" rotWithShape="0">
                            <a:srgbClr val="974706"/>
                          </a:outerShdw>
                        </a:effectLst>
                        <a:extLst>
                          <a:ext uri="{91240B29-F687-4F45-9708-019B960494DF}">
                            <a14:hiddenLine xmlns:a14="http://schemas.microsoft.com/office/drawing/2010/main" w="0" algn="ctr">
                              <a:solidFill>
                                <a:srgbClr val="000000"/>
                              </a:solidFill>
                              <a:miter lim="800000"/>
                              <a:headEnd/>
                              <a:tailEnd/>
                            </a14:hiddenLine>
                          </a:ext>
                        </a:extLst>
                      </wps:spPr>
                      <wps:txbx>
                        <w:txbxContent>
                          <w:p w14:paraId="41B50CEF" w14:textId="77777777" w:rsidR="00F440E7" w:rsidRDefault="00F440E7">
                            <w:pPr>
                              <w:pStyle w:val="NoSpacing"/>
                              <w:rPr>
                                <w:color w:val="FFFFFF"/>
                                <w:sz w:val="80"/>
                                <w:szCs w:val="80"/>
                              </w:rPr>
                            </w:pPr>
                          </w:p>
                          <w:p w14:paraId="59BE0384" w14:textId="77777777" w:rsidR="00F440E7" w:rsidRDefault="00F440E7">
                            <w:pPr>
                              <w:pStyle w:val="NoSpacing"/>
                              <w:rPr>
                                <w:color w:val="FFFFFF"/>
                                <w:sz w:val="80"/>
                                <w:szCs w:val="80"/>
                              </w:rPr>
                            </w:pPr>
                          </w:p>
                          <w:p w14:paraId="6999BEDC" w14:textId="77777777" w:rsidR="00F440E7" w:rsidRDefault="00F440E7">
                            <w:pPr>
                              <w:pStyle w:val="NoSpacing"/>
                              <w:rPr>
                                <w:color w:val="FFFFFF"/>
                                <w:sz w:val="80"/>
                                <w:szCs w:val="80"/>
                                <w:lang w:val="bg-BG"/>
                              </w:rPr>
                            </w:pPr>
                            <w:r>
                              <w:rPr>
                                <w:color w:val="FFFFFF"/>
                                <w:sz w:val="80"/>
                                <w:szCs w:val="80"/>
                                <w:lang w:val="bg-BG"/>
                              </w:rPr>
                              <w:t xml:space="preserve">ГОДИШЕН </w:t>
                            </w:r>
                          </w:p>
                          <w:p w14:paraId="4A3BEAF1" w14:textId="77777777" w:rsidR="00F440E7" w:rsidRDefault="00F440E7">
                            <w:pPr>
                              <w:pStyle w:val="NoSpacing"/>
                              <w:rPr>
                                <w:color w:val="FFFFFF"/>
                                <w:sz w:val="80"/>
                                <w:szCs w:val="80"/>
                                <w:lang w:val="bg-BG"/>
                              </w:rPr>
                            </w:pPr>
                            <w:r>
                              <w:rPr>
                                <w:color w:val="FFFFFF"/>
                                <w:sz w:val="80"/>
                                <w:szCs w:val="80"/>
                                <w:lang w:val="bg-BG"/>
                              </w:rPr>
                              <w:t>ДОКЛАД</w:t>
                            </w:r>
                          </w:p>
                          <w:p w14:paraId="77B10467" w14:textId="77777777" w:rsidR="00F440E7" w:rsidRPr="00104C31" w:rsidRDefault="00F440E7">
                            <w:pPr>
                              <w:pStyle w:val="NoSpacing"/>
                              <w:rPr>
                                <w:color w:val="FFFFFF"/>
                                <w:sz w:val="80"/>
                                <w:szCs w:val="80"/>
                                <w:lang w:val="bg-BG"/>
                              </w:rPr>
                            </w:pPr>
                            <w:r>
                              <w:rPr>
                                <w:color w:val="FFFFFF"/>
                                <w:sz w:val="80"/>
                                <w:szCs w:val="80"/>
                                <w:lang w:val="bg-BG"/>
                              </w:rPr>
                              <w:t>ЗА ДЕЙНОСТТА</w:t>
                            </w:r>
                          </w:p>
                        </w:txbxContent>
                      </wps:txbx>
                      <wps:bodyPr rot="0" vert="horz" wrap="square" lIns="228600" tIns="1371600" rIns="457200" bIns="4572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34901D" id="Rectangle 5" o:spid="_x0000_s1026" style="position:absolute;margin-left:96.65pt;margin-top:-34.55pt;width:429.5pt;height:876.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" fillcolor="#f79646" stroked="f" strokeweight="0">
                <v:fill color2="#df6a09" focusposition=".5,.5" focussize="" focus="100%" type="gradientRadial"/>
                <v:shadow on="t" color="#974706" offset="1pt"/>
                <v:textbox inset="18pt,108pt,36pt">
                  <w:txbxContent>
                    <w:p w14:paraId="41B50CEF" w14:textId="77777777" w:rsidR="00F440E7" w:rsidRDefault="00F440E7">
                      <w:pPr>
                        <w:pStyle w:val="NoSpacing"/>
                        <w:rPr>
                          <w:color w:val="FFFFFF"/>
                          <w:sz w:val="80"/>
                          <w:szCs w:val="80"/>
                        </w:rPr>
                      </w:pPr>
                    </w:p>
                    <w:p w14:paraId="59BE0384" w14:textId="77777777" w:rsidR="00F440E7" w:rsidRDefault="00F440E7">
                      <w:pPr>
                        <w:pStyle w:val="NoSpacing"/>
                        <w:rPr>
                          <w:color w:val="FFFFFF"/>
                          <w:sz w:val="80"/>
                          <w:szCs w:val="80"/>
                        </w:rPr>
                      </w:pPr>
                    </w:p>
                    <w:p w14:paraId="6999BEDC" w14:textId="77777777" w:rsidR="00F440E7" w:rsidRDefault="00F440E7">
                      <w:pPr>
                        <w:pStyle w:val="NoSpacing"/>
                        <w:rPr>
                          <w:color w:val="FFFFFF"/>
                          <w:sz w:val="80"/>
                          <w:szCs w:val="80"/>
                          <w:lang w:val="bg-BG"/>
                        </w:rPr>
                      </w:pPr>
                      <w:r>
                        <w:rPr>
                          <w:color w:val="FFFFFF"/>
                          <w:sz w:val="80"/>
                          <w:szCs w:val="80"/>
                          <w:lang w:val="bg-BG"/>
                        </w:rPr>
                        <w:t xml:space="preserve">ГОДИШЕН </w:t>
                      </w:r>
                    </w:p>
                    <w:p w14:paraId="4A3BEAF1" w14:textId="77777777" w:rsidR="00F440E7" w:rsidRDefault="00F440E7">
                      <w:pPr>
                        <w:pStyle w:val="NoSpacing"/>
                        <w:rPr>
                          <w:color w:val="FFFFFF"/>
                          <w:sz w:val="80"/>
                          <w:szCs w:val="80"/>
                          <w:lang w:val="bg-BG"/>
                        </w:rPr>
                      </w:pPr>
                      <w:r>
                        <w:rPr>
                          <w:color w:val="FFFFFF"/>
                          <w:sz w:val="80"/>
                          <w:szCs w:val="80"/>
                          <w:lang w:val="bg-BG"/>
                        </w:rPr>
                        <w:t>ДОКЛАД</w:t>
                      </w:r>
                    </w:p>
                    <w:p w14:paraId="77B10467" w14:textId="77777777" w:rsidR="00F440E7" w:rsidRPr="00104C31" w:rsidRDefault="00F440E7">
                      <w:pPr>
                        <w:pStyle w:val="NoSpacing"/>
                        <w:rPr>
                          <w:color w:val="FFFFFF"/>
                          <w:sz w:val="80"/>
                          <w:szCs w:val="80"/>
                          <w:lang w:val="bg-BG"/>
                        </w:rPr>
                      </w:pPr>
                      <w:r>
                        <w:rPr>
                          <w:color w:val="FFFFFF"/>
                          <w:sz w:val="80"/>
                          <w:szCs w:val="80"/>
                          <w:lang w:val="bg-BG"/>
                        </w:rPr>
                        <w:t>ЗА ДЕЙНОСТТА</w:t>
                      </w:r>
                    </w:p>
                  </w:txbxContent>
                </v:textbox>
              </v:rect>
            </w:pict>
          </mc:Fallback>
        </mc:AlternateContent>
      </w:r>
      <w:r>
        <w:rPr>
          <w:noProof/>
          <w:lang w:eastAsia="bg-BG"/>
        </w:rPr>
        <mc:AlternateContent>
          <mc:Choice Requires="wps">
            <w:drawing>
              <wp:anchor distT="0" distB="0" distL="114300" distR="114300" simplePos="0" relativeHeight="251649536" behindDoc="0" locked="0" layoutInCell="1" allowOverlap="1" wp14:anchorId="39898320" wp14:editId="3FB71904">
                <wp:simplePos x="0" y="0"/>
                <wp:positionH relativeFrom="column">
                  <wp:posOffset>-878840</wp:posOffset>
                </wp:positionH>
                <wp:positionV relativeFrom="paragraph">
                  <wp:posOffset>-438785</wp:posOffset>
                </wp:positionV>
                <wp:extent cx="7560945" cy="11268710"/>
                <wp:effectExtent l="11430" t="8890" r="9525" b="28575"/>
                <wp:wrapNone/>
                <wp:docPr id="40" name="Rectangle 4" descr="Zig zag"/>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945" cy="11268710"/>
                        </a:xfrm>
                        <a:prstGeom prst="rect">
                          <a:avLst/>
                        </a:prstGeom>
                        <a:gradFill rotWithShape="1">
                          <a:gsLst>
                            <a:gs pos="0">
                              <a:srgbClr val="FABF8F"/>
                            </a:gs>
                            <a:gs pos="50000">
                              <a:srgbClr val="F79646"/>
                            </a:gs>
                            <a:gs pos="100000">
                              <a:srgbClr val="FABF8F"/>
                            </a:gs>
                          </a:gsLst>
                          <a:lin ang="5400000" scaled="1"/>
                        </a:gradFill>
                        <a:ln w="12700">
                          <a:solidFill>
                            <a:srgbClr val="F79646"/>
                          </a:solidFill>
                          <a:miter lim="800000"/>
                          <a:headEnd/>
                          <a:tailEnd/>
                        </a:ln>
                        <a:effectLst>
                          <a:outerShdw dist="28398" dir="3806097" algn="ctr" rotWithShape="0">
                            <a:srgbClr val="974706"/>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40E9786" id="Rectangle 4" o:spid="_x0000_s1026" alt="Zig zag" style="position:absolute;margin-left:-69.2pt;margin-top:-34.55pt;width:595.35pt;height:887.3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" fillcolor="#fabf8f" strokecolor="#f79646" strokeweight="1pt">
                <v:fill color2="#f79646" rotate="t" focus="50%" type="gradient"/>
                <v:shadow on="t" color="#974706" offset="1pt"/>
              </v:rect>
            </w:pict>
          </mc:Fallback>
        </mc:AlternateContent>
      </w:r>
    </w:p>
    <w:p w14:paraId="5363AC89" w14:textId="77777777" w:rsidR="00104C31" w:rsidRDefault="00104C31"/>
    <w:p w14:paraId="31DEF3A3" w14:textId="77777777" w:rsidR="00104C31" w:rsidRPr="00104C31" w:rsidRDefault="00104C31" w:rsidP="00104C31">
      <w:pPr>
        <w:pStyle w:val="NoSpacing"/>
        <w:rPr>
          <w:rFonts w:eastAsia="Calibri" w:cs="Times New Roman"/>
          <w:color w:val="FFFFFF"/>
          <w:sz w:val="80"/>
          <w:szCs w:val="80"/>
          <w:lang w:val="bg-BG" w:eastAsia="en-US"/>
        </w:rPr>
      </w:pPr>
      <w:r>
        <w:rPr>
          <w:sz w:val="80"/>
          <w:szCs w:val="80"/>
        </w:rPr>
        <w:t xml:space="preserve">     </w:t>
      </w:r>
    </w:p>
    <w:p w14:paraId="51359552" w14:textId="476C2796" w:rsidR="00E21D17" w:rsidRDefault="00316233">
      <w:r>
        <w:rPr>
          <w:noProof/>
          <w:lang w:eastAsia="bg-BG"/>
        </w:rPr>
        <mc:AlternateContent>
          <mc:Choice Requires="wps">
            <w:drawing>
              <wp:anchor distT="0" distB="0" distL="114300" distR="114300" simplePos="0" relativeHeight="251658752" behindDoc="0" locked="0" layoutInCell="1" allowOverlap="1" wp14:anchorId="6B782D40" wp14:editId="13FC0C2F">
                <wp:simplePos x="0" y="0"/>
                <wp:positionH relativeFrom="column">
                  <wp:posOffset>1362710</wp:posOffset>
                </wp:positionH>
                <wp:positionV relativeFrom="paragraph">
                  <wp:posOffset>8736965</wp:posOffset>
                </wp:positionV>
                <wp:extent cx="4386580" cy="310515"/>
                <wp:effectExtent l="0" t="1905" r="0" b="1905"/>
                <wp:wrapNone/>
                <wp:docPr id="3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386580" cy="310515"/>
                        </a:xfrm>
                        <a:prstGeom prst="rect">
                          <a:avLst/>
                        </a:prstGeom>
                        <a:noFill/>
                        <a:ln>
                          <a:noFill/>
                        </a:ln>
                        <a:effectLst/>
                        <a:extLst>
                          <a:ext uri="{909E8E84-426E-40DD-AFC4-6F175D3DCCD1}">
                            <a14:hiddenFill xmlns:a14="http://schemas.microsoft.com/office/drawing/2010/main">
                              <a:solidFill>
                                <a:srgbClr val="FFFFFF">
                                  <a:alpha val="79999"/>
                                </a:srgbClr>
                              </a:solidFill>
                            </a14:hiddenFill>
                          </a:ext>
                          <a:ext uri="{91240B29-F687-4F45-9708-019B960494DF}">
                            <a14:hiddenLine xmlns:a14="http://schemas.microsoft.com/office/drawing/2010/main" w="12700">
                              <a:solidFill>
                                <a:srgbClr val="FFFFFF"/>
                              </a:solidFill>
                              <a:miter lim="800000"/>
                              <a:headEnd/>
                              <a:tailEnd/>
                            </a14:hiddenLine>
                          </a:ext>
                          <a:ext uri="{AF507438-7753-43E0-B8FC-AC1667EBCBE1}">
                            <a14:hiddenEffects xmlns:a14="http://schemas.microsoft.com/office/drawing/2010/main">
                              <a:effectLst/>
                            </a14:hiddenEffects>
                          </a:ext>
                        </a:extLst>
                      </wps:spPr>
                      <wps:txbx>
                        <w:txbxContent>
                          <w:p w14:paraId="4FF1FE64" w14:textId="321C7008" w:rsidR="00F440E7" w:rsidRPr="004A0522" w:rsidRDefault="00C04CCF">
                            <w:pPr>
                              <w:pStyle w:val="NoSpacing"/>
                              <w:jc w:val="right"/>
                              <w:rPr>
                                <w:color w:val="FFFFFF"/>
                                <w:lang w:val="bg-BG"/>
                              </w:rPr>
                            </w:pPr>
                            <w:r>
                              <w:rPr>
                                <w:color w:val="FFFFFF"/>
                                <w:lang w:val="bg-BG"/>
                              </w:rPr>
                              <w:t>2021</w:t>
                            </w:r>
                            <w:r w:rsidR="00F440E7">
                              <w:rPr>
                                <w:color w:val="FFFFFF"/>
                              </w:rPr>
                              <w:t xml:space="preserve"> </w:t>
                            </w:r>
                            <w:r w:rsidR="00F440E7">
                              <w:rPr>
                                <w:color w:val="FFFFFF"/>
                                <w:lang w:val="bg-BG"/>
                              </w:rPr>
                              <w:t>година</w:t>
                            </w:r>
                          </w:p>
                        </w:txbxContent>
                      </wps:txbx>
                      <wps:bodyPr rot="0" vert="horz" wrap="square" lIns="91440" tIns="0" rIns="91440" bIns="0" anchor="b"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B782D40" id="Rectangle 19" o:spid="_x0000_s1027" style="position:absolute;margin-left:107.3pt;margin-top:687.95pt;width:345.4pt;height:24.4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" filled="f" stroked="f" strokecolor="white" strokeweight="1pt">
                <v:fill opacity="52428f"/>
                <v:textbox inset=",0,,0">
                  <w:txbxContent>
                    <w:p w14:paraId="4FF1FE64" w14:textId="321C7008" w:rsidR="00F440E7" w:rsidRPr="004A0522" w:rsidRDefault="00C04CCF">
                      <w:pPr>
                        <w:pStyle w:val="NoSpacing"/>
                        <w:jc w:val="right"/>
                        <w:rPr>
                          <w:color w:val="FFFFFF"/>
                          <w:lang w:val="bg-BG"/>
                        </w:rPr>
                      </w:pPr>
                      <w:r>
                        <w:rPr>
                          <w:color w:val="FFFFFF"/>
                          <w:lang w:val="bg-BG"/>
                        </w:rPr>
                        <w:t>2021</w:t>
                      </w:r>
                      <w:r w:rsidR="00F440E7">
                        <w:rPr>
                          <w:color w:val="FFFFFF"/>
                        </w:rPr>
                        <w:t xml:space="preserve"> </w:t>
                      </w:r>
                      <w:r w:rsidR="00F440E7">
                        <w:rPr>
                          <w:color w:val="FFFFFF"/>
                          <w:lang w:val="bg-BG"/>
                        </w:rPr>
                        <w:t>година</w:t>
                      </w:r>
                    </w:p>
                  </w:txbxContent>
                </v:textbox>
              </v:rect>
            </w:pict>
          </mc:Fallback>
        </mc:AlternateContent>
      </w:r>
      <w:r>
        <w:rPr>
          <w:noProof/>
          <w:lang w:eastAsia="bg-BG"/>
        </w:rPr>
        <mc:AlternateContent>
          <mc:Choice Requires="wpg">
            <w:drawing>
              <wp:anchor distT="0" distB="0" distL="114300" distR="114300" simplePos="0" relativeHeight="251657728" behindDoc="0" locked="0" layoutInCell="1" allowOverlap="1" wp14:anchorId="7C6CED27" wp14:editId="4064E282">
                <wp:simplePos x="0" y="0"/>
                <wp:positionH relativeFrom="column">
                  <wp:posOffset>5878830</wp:posOffset>
                </wp:positionH>
                <wp:positionV relativeFrom="paragraph">
                  <wp:posOffset>8736965</wp:posOffset>
                </wp:positionV>
                <wp:extent cx="482600" cy="512445"/>
                <wp:effectExtent l="6350" t="11430" r="6350" b="9525"/>
                <wp:wrapNone/>
                <wp:docPr id="3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482600" cy="512445"/>
                          <a:chOff x="8754" y="11945"/>
                          <a:chExt cx="2880" cy="2859"/>
                        </a:xfrm>
                      </wpg:grpSpPr>
                      <wps:wsp>
                        <wps:cNvPr id="36" name="Rectangle 16"/>
                        <wps:cNvSpPr>
                          <a:spLocks noChangeArrowheads="1"/>
                        </wps:cNvSpPr>
                        <wps:spPr bwMode="auto">
                          <a:xfrm flipH="1">
                            <a:off x="10194" y="11945"/>
                            <a:ext cx="1440" cy="1440"/>
                          </a:xfrm>
                          <a:prstGeom prst="rect">
                            <a:avLst/>
                          </a:prstGeom>
                          <a:solidFill>
                            <a:srgbClr val="FABF8F">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7" name="Rectangle 17"/>
                        <wps:cNvSpPr>
                          <a:spLocks noChangeArrowheads="1"/>
                        </wps:cNvSpPr>
                        <wps:spPr bwMode="auto">
                          <a:xfrm flipH="1">
                            <a:off x="10194" y="13364"/>
                            <a:ext cx="1440" cy="1440"/>
                          </a:xfrm>
                          <a:prstGeom prst="rect">
                            <a:avLst/>
                          </a:prstGeom>
                          <a:solidFill>
                            <a:srgbClr val="FABF8F"/>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8" name="Rectangle 18"/>
                        <wps:cNvSpPr>
                          <a:spLocks noChangeArrowheads="1"/>
                        </wps:cNvSpPr>
                        <wps:spPr bwMode="auto">
                          <a:xfrm flipH="1">
                            <a:off x="8754" y="13364"/>
                            <a:ext cx="1440" cy="1440"/>
                          </a:xfrm>
                          <a:prstGeom prst="rect">
                            <a:avLst/>
                          </a:prstGeom>
                          <a:solidFill>
                            <a:srgbClr val="FABF8F">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2C5F43" id="Group 15" o:spid="_x0000_s1026" style="position:absolute;margin-left:462.9pt;margin-top:687.95pt;width:38pt;height:40.35pt;flip:x y;z-index:251657728"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">
                <v:rect id="Rectangle 16" o:spid="_x0000_s102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" fillcolor="#fabf8f" strokecolor="white" strokeweight="1pt">
                  <v:fill opacity="32896f"/>
                  <v:shadow color="#d8d8d8" offset="3pt,3pt"/>
                </v:rect>
                <v:rect id="Rectangle 17" o:spid="_x0000_s102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" fillcolor="#fabf8f" strokecolor="white" strokeweight="1pt">
                  <v:shadow color="#d8d8d8" offset="3pt,3pt"/>
                </v:rect>
                <v:rect id="Rectangle 18" o:spid="_x0000_s102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" fillcolor="#fabf8f" strokecolor="white" strokeweight="1pt">
                  <v:fill opacity="32896f"/>
                  <v:shadow color="#d8d8d8" offset="3pt,3pt"/>
                </v:rect>
              </v:group>
            </w:pict>
          </mc:Fallback>
        </mc:AlternateContent>
      </w:r>
      <w:r>
        <w:rPr>
          <w:noProof/>
          <w:lang w:eastAsia="bg-BG"/>
        </w:rPr>
        <mc:AlternateContent>
          <mc:Choice Requires="wps">
            <w:drawing>
              <wp:anchor distT="0" distB="0" distL="114300" distR="114300" simplePos="0" relativeHeight="251656704" behindDoc="0" locked="0" layoutInCell="1" allowOverlap="1" wp14:anchorId="79D2E993" wp14:editId="031D7B98">
                <wp:simplePos x="0" y="0"/>
                <wp:positionH relativeFrom="column">
                  <wp:posOffset>262890</wp:posOffset>
                </wp:positionH>
                <wp:positionV relativeFrom="paragraph">
                  <wp:posOffset>4325620</wp:posOffset>
                </wp:positionV>
                <wp:extent cx="965200" cy="1022985"/>
                <wp:effectExtent l="10160" t="10160" r="15240" b="24130"/>
                <wp:wrapNone/>
                <wp:docPr id="34"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65200" cy="1022985"/>
                        </a:xfrm>
                        <a:prstGeom prst="rect">
                          <a:avLst/>
                        </a:prstGeom>
                        <a:gradFill rotWithShape="0">
                          <a:gsLst>
                            <a:gs pos="0">
                              <a:srgbClr val="FFFFFF">
                                <a:alpha val="50195"/>
                              </a:srgbClr>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0218D19B" id="Rectangle 12" o:spid="_x0000_s1026" style="position:absolute;margin-left:20.7pt;margin-top:340.6pt;width:76pt;height:80.55pt;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" strokecolor="#fabf8f" strokeweight="1pt">
                <v:fill opacity="32895f" color2="#fbd4b4" focus="100%" type="gradient"/>
                <v:shadow on="t" color="#974706" opacity=".5" offset="1pt"/>
              </v:rect>
            </w:pict>
          </mc:Fallback>
        </mc:AlternateContent>
      </w:r>
      <w:r>
        <w:rPr>
          <w:noProof/>
          <w:lang w:eastAsia="bg-BG"/>
        </w:rPr>
        <mc:AlternateContent>
          <mc:Choice Requires="wps">
            <w:drawing>
              <wp:anchor distT="0" distB="0" distL="114300" distR="114300" simplePos="0" relativeHeight="251655680" behindDoc="0" locked="0" layoutInCell="1" allowOverlap="1" wp14:anchorId="2B57A8B6" wp14:editId="5999E6E8">
                <wp:simplePos x="0" y="0"/>
                <wp:positionH relativeFrom="column">
                  <wp:posOffset>-702945</wp:posOffset>
                </wp:positionH>
                <wp:positionV relativeFrom="paragraph">
                  <wp:posOffset>3302000</wp:posOffset>
                </wp:positionV>
                <wp:extent cx="965835" cy="1023620"/>
                <wp:effectExtent l="15875" t="15240" r="8890" b="27940"/>
                <wp:wrapNone/>
                <wp:docPr id="33"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65835" cy="1023620"/>
                        </a:xfrm>
                        <a:prstGeom prst="rect">
                          <a:avLst/>
                        </a:prstGeom>
                        <a:gradFill rotWithShape="0">
                          <a:gsLst>
                            <a:gs pos="0">
                              <a:srgbClr val="FFFFFF">
                                <a:alpha val="50195"/>
                              </a:srgbClr>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9985A3F" id="Rectangle 11" o:spid="_x0000_s1026" style="position:absolute;margin-left:-55.35pt;margin-top:260pt;width:76.05pt;height:80.6pt;flip:x;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" strokecolor="#fabf8f" strokeweight="1pt">
                <v:fill opacity="32895f" color2="#fbd4b4" focus="100%" type="gradient"/>
                <v:shadow on="t" color="#974706" opacity=".5" offset="1pt"/>
              </v:rect>
            </w:pict>
          </mc:Fallback>
        </mc:AlternateContent>
      </w:r>
      <w:r>
        <w:rPr>
          <w:noProof/>
          <w:lang w:eastAsia="bg-BG"/>
        </w:rPr>
        <mc:AlternateContent>
          <mc:Choice Requires="wps">
            <w:drawing>
              <wp:anchor distT="0" distB="0" distL="114300" distR="114300" simplePos="0" relativeHeight="251654656" behindDoc="0" locked="0" layoutInCell="1" allowOverlap="1" wp14:anchorId="5CF00EC7" wp14:editId="01472E46">
                <wp:simplePos x="0" y="0"/>
                <wp:positionH relativeFrom="column">
                  <wp:posOffset>-702945</wp:posOffset>
                </wp:positionH>
                <wp:positionV relativeFrom="paragraph">
                  <wp:posOffset>1255395</wp:posOffset>
                </wp:positionV>
                <wp:extent cx="965835" cy="1023620"/>
                <wp:effectExtent l="15875" t="6985" r="8890" b="26670"/>
                <wp:wrapNone/>
                <wp:docPr id="32"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65835" cy="1023620"/>
                        </a:xfrm>
                        <a:prstGeom prst="rect">
                          <a:avLst/>
                        </a:prstGeom>
                        <a:gradFill rotWithShape="0">
                          <a:gsLst>
                            <a:gs pos="0">
                              <a:srgbClr val="FFFFFF">
                                <a:alpha val="50195"/>
                              </a:srgbClr>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65712228" id="Rectangle 10" o:spid="_x0000_s1026" style="position:absolute;margin-left:-55.35pt;margin-top:98.85pt;width:76.05pt;height:80.6pt;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" strokecolor="#fabf8f" strokeweight="1pt">
                <v:fill opacity="32895f" color2="#fbd4b4" focus="100%" type="gradient"/>
                <v:shadow on="t" color="#974706" opacity=".5" offset="1pt"/>
              </v:rect>
            </w:pict>
          </mc:Fallback>
        </mc:AlternateContent>
      </w:r>
      <w:r>
        <w:rPr>
          <w:noProof/>
          <w:lang w:eastAsia="bg-BG"/>
        </w:rPr>
        <mc:AlternateContent>
          <mc:Choice Requires="wps">
            <w:drawing>
              <wp:anchor distT="0" distB="0" distL="114300" distR="114300" simplePos="0" relativeHeight="251653632" behindDoc="0" locked="0" layoutInCell="1" allowOverlap="1" wp14:anchorId="0073DF22" wp14:editId="05EA0EBF">
                <wp:simplePos x="0" y="0"/>
                <wp:positionH relativeFrom="column">
                  <wp:posOffset>-702945</wp:posOffset>
                </wp:positionH>
                <wp:positionV relativeFrom="paragraph">
                  <wp:posOffset>2279015</wp:posOffset>
                </wp:positionV>
                <wp:extent cx="965835" cy="1022985"/>
                <wp:effectExtent l="15875" t="11430" r="8890" b="22860"/>
                <wp:wrapNone/>
                <wp:docPr id="31"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65835" cy="1022985"/>
                        </a:xfrm>
                        <a:prstGeom prst="rect">
                          <a:avLst/>
                        </a:prstGeom>
                        <a:gradFill rotWithShape="0">
                          <a:gsLst>
                            <a:gs pos="0">
                              <a:srgbClr val="FABF8F">
                                <a:alpha val="79999"/>
                              </a:srgbClr>
                            </a:gs>
                            <a:gs pos="50000">
                              <a:srgbClr val="F79646"/>
                            </a:gs>
                            <a:gs pos="100000">
                              <a:srgbClr val="FABF8F">
                                <a:alpha val="79999"/>
                              </a:srgbClr>
                            </a:gs>
                          </a:gsLst>
                          <a:lin ang="5400000" scaled="1"/>
                        </a:gradFill>
                        <a:ln w="12700">
                          <a:solidFill>
                            <a:srgbClr val="F79646"/>
                          </a:solidFill>
                          <a:miter lim="800000"/>
                          <a:headEnd/>
                          <a:tailEnd/>
                        </a:ln>
                        <a:effectLst>
                          <a:outerShdw dist="28398" dir="3806097" algn="ctr" rotWithShape="0">
                            <a:srgbClr val="974706"/>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0983EB" id="Rectangle 9" o:spid="_x0000_s1026" style="position:absolute;margin-left:-55.35pt;margin-top:179.45pt;width:76.05pt;height:80.55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" fillcolor="#fabf8f" strokecolor="#f79646" strokeweight="1pt">
                <v:fill opacity="52428f" color2="#f79646" focus="50%" type="gradient"/>
                <v:shadow on="t" color="#974706" offset="1pt"/>
              </v:rect>
            </w:pict>
          </mc:Fallback>
        </mc:AlternateContent>
      </w:r>
      <w:r>
        <w:rPr>
          <w:noProof/>
          <w:lang w:eastAsia="bg-BG"/>
        </w:rPr>
        <mc:AlternateContent>
          <mc:Choice Requires="wps">
            <w:drawing>
              <wp:anchor distT="0" distB="0" distL="114300" distR="114300" simplePos="0" relativeHeight="251652608" behindDoc="0" locked="0" layoutInCell="1" allowOverlap="1" wp14:anchorId="7843D1F9" wp14:editId="78675F3F">
                <wp:simplePos x="0" y="0"/>
                <wp:positionH relativeFrom="column">
                  <wp:posOffset>262890</wp:posOffset>
                </wp:positionH>
                <wp:positionV relativeFrom="paragraph">
                  <wp:posOffset>2279015</wp:posOffset>
                </wp:positionV>
                <wp:extent cx="965200" cy="1022985"/>
                <wp:effectExtent l="10160" t="11430" r="15240" b="22860"/>
                <wp:wrapNone/>
                <wp:docPr id="30"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65200" cy="1022985"/>
                        </a:xfrm>
                        <a:prstGeom prst="rect">
                          <a:avLst/>
                        </a:prstGeom>
                        <a:gradFill rotWithShape="0">
                          <a:gsLst>
                            <a:gs pos="0">
                              <a:srgbClr val="FFFFFF">
                                <a:alpha val="50195"/>
                              </a:srgbClr>
                            </a:gs>
                            <a:gs pos="100000">
                              <a:srgbClr val="FBD4B4"/>
                            </a:gs>
                          </a:gsLst>
                          <a:lin ang="5400000" scaled="1"/>
                        </a:gradFill>
                        <a:ln w="12700">
                          <a:solidFill>
                            <a:srgbClr val="FABF8F"/>
                          </a:solidFill>
                          <a:miter lim="800000"/>
                          <a:headEnd/>
                          <a:tailEnd/>
                        </a:ln>
                        <a:effectLst>
                          <a:outerShdw dist="28398" dir="3806097" algn="ctr" rotWithShape="0">
                            <a:srgbClr val="974706">
                              <a:alpha val="50000"/>
                            </a:srgbClr>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969FEA1" id="Rectangle 8" o:spid="_x0000_s1026" style="position:absolute;margin-left:20.7pt;margin-top:179.45pt;width:76pt;height:80.55pt;flip:x;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" strokecolor="#fabf8f" strokeweight="1pt">
                <v:fill opacity="32895f" color2="#fbd4b4" focus="100%" type="gradient"/>
                <v:shadow on="t" color="#974706" opacity=".5" offset="1pt"/>
              </v:rect>
            </w:pict>
          </mc:Fallback>
        </mc:AlternateContent>
      </w:r>
      <w:r>
        <w:rPr>
          <w:noProof/>
          <w:lang w:eastAsia="bg-BG"/>
        </w:rPr>
        <mc:AlternateContent>
          <mc:Choice Requires="wps">
            <w:drawing>
              <wp:anchor distT="0" distB="0" distL="114300" distR="114300" simplePos="0" relativeHeight="251651584" behindDoc="0" locked="0" layoutInCell="1" allowOverlap="1" wp14:anchorId="5CDB2741" wp14:editId="4EEC5C64">
                <wp:simplePos x="0" y="0"/>
                <wp:positionH relativeFrom="column">
                  <wp:posOffset>262890</wp:posOffset>
                </wp:positionH>
                <wp:positionV relativeFrom="paragraph">
                  <wp:posOffset>3302000</wp:posOffset>
                </wp:positionV>
                <wp:extent cx="965200" cy="1023620"/>
                <wp:effectExtent l="10160" t="15240" r="15240" b="27940"/>
                <wp:wrapNone/>
                <wp:docPr id="2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flipH="1">
                          <a:off x="0" y="0"/>
                          <a:ext cx="965200" cy="1023620"/>
                        </a:xfrm>
                        <a:prstGeom prst="rect">
                          <a:avLst/>
                        </a:prstGeom>
                        <a:gradFill rotWithShape="0">
                          <a:gsLst>
                            <a:gs pos="0">
                              <a:srgbClr val="FABF8F">
                                <a:alpha val="79999"/>
                              </a:srgbClr>
                            </a:gs>
                            <a:gs pos="50000">
                              <a:srgbClr val="F79646"/>
                            </a:gs>
                            <a:gs pos="100000">
                              <a:srgbClr val="FABF8F">
                                <a:alpha val="79999"/>
                              </a:srgbClr>
                            </a:gs>
                          </a:gsLst>
                          <a:lin ang="5400000" scaled="1"/>
                        </a:gradFill>
                        <a:ln w="12700">
                          <a:solidFill>
                            <a:srgbClr val="F79646"/>
                          </a:solidFill>
                          <a:miter lim="800000"/>
                          <a:headEnd/>
                          <a:tailEnd/>
                        </a:ln>
                        <a:effectLst>
                          <a:outerShdw dist="28398" dir="3806097" algn="ctr" rotWithShape="0">
                            <a:srgbClr val="974706"/>
                          </a:outerShdw>
                        </a:effec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3B58DB8" id="Rectangle 7" o:spid="_x0000_s1026" style="position:absolute;margin-left:20.7pt;margin-top:260pt;width:76pt;height:80.6pt;flip:x;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" fillcolor="#fabf8f" strokecolor="#f79646" strokeweight="1pt">
                <v:fill opacity="52428f" color2="#f79646" focus="50%" type="gradient"/>
                <v:shadow on="t" color="#974706" offset="1pt"/>
              </v:rect>
            </w:pict>
          </mc:Fallback>
        </mc:AlternateContent>
      </w:r>
      <w:r w:rsidR="00104C31">
        <w:br w:type="page"/>
      </w:r>
    </w:p>
    <w:p w14:paraId="07FA5DBA" w14:textId="346AFEBB" w:rsidR="00C22F1B" w:rsidRPr="006623F6" w:rsidRDefault="001F2D99" w:rsidP="00C22F1B">
      <w:pPr>
        <w:pStyle w:val="BodyText2"/>
        <w:tabs>
          <w:tab w:val="clear" w:pos="540"/>
        </w:tabs>
        <w:rPr>
          <w:rFonts w:ascii="Calibri" w:hAnsi="Calibri"/>
          <w:b/>
          <w:lang w:val="bg-BG"/>
        </w:rPr>
      </w:pPr>
      <w:r w:rsidRPr="006623F6">
        <w:rPr>
          <w:rFonts w:ascii="Calibri" w:hAnsi="Calibri"/>
          <w:b/>
          <w:lang w:val="bg-BG"/>
        </w:rPr>
        <w:lastRenderedPageBreak/>
        <w:t>Годишният доклад за дейността на “</w:t>
      </w:r>
      <w:r w:rsidR="00842999" w:rsidRPr="00523AD2">
        <w:rPr>
          <w:rFonts w:ascii="Calibri" w:hAnsi="Calibri"/>
          <w:b/>
          <w:lang w:val="bg-BG"/>
        </w:rPr>
        <w:t>ДКЦ Чайка</w:t>
      </w:r>
      <w:r w:rsidRPr="00523AD2">
        <w:rPr>
          <w:rFonts w:ascii="Calibri" w:hAnsi="Calibri"/>
          <w:b/>
          <w:lang w:val="bg-BG"/>
        </w:rPr>
        <w:t xml:space="preserve">” </w:t>
      </w:r>
      <w:r w:rsidR="004E48C3" w:rsidRPr="00523AD2">
        <w:rPr>
          <w:rFonts w:ascii="Calibri" w:hAnsi="Calibri"/>
          <w:b/>
          <w:lang w:val="bg-BG"/>
        </w:rPr>
        <w:t>ОО</w:t>
      </w:r>
      <w:r w:rsidRPr="00523AD2">
        <w:rPr>
          <w:rFonts w:ascii="Calibri" w:hAnsi="Calibri"/>
          <w:b/>
          <w:lang w:val="bg-BG"/>
        </w:rPr>
        <w:t>Д, гр.</w:t>
      </w:r>
      <w:r w:rsidR="00842999" w:rsidRPr="00523AD2">
        <w:rPr>
          <w:rFonts w:ascii="Calibri" w:hAnsi="Calibri"/>
          <w:b/>
          <w:lang w:val="bg-BG"/>
        </w:rPr>
        <w:t>Варна</w:t>
      </w:r>
      <w:r w:rsidRPr="00523AD2">
        <w:rPr>
          <w:rFonts w:ascii="Calibri" w:hAnsi="Calibri"/>
          <w:b/>
          <w:lang w:val="bg-BG"/>
        </w:rPr>
        <w:t xml:space="preserve"> </w:t>
      </w:r>
      <w:r w:rsidR="00C22F1B" w:rsidRPr="00523AD2">
        <w:rPr>
          <w:rFonts w:ascii="Calibri" w:hAnsi="Calibri"/>
          <w:b/>
          <w:lang w:val="bg-BG"/>
        </w:rPr>
        <w:t xml:space="preserve">за 2021 г. е изготвен съгласно изискванията на чл. 39 на Закона за счетоводството, чл. 100н, ал. </w:t>
      </w:r>
      <w:r w:rsidR="00C22F1B" w:rsidRPr="00523AD2">
        <w:rPr>
          <w:rFonts w:ascii="Calibri" w:hAnsi="Calibri"/>
          <w:b/>
          <w:lang w:val="ru-RU"/>
        </w:rPr>
        <w:t>4</w:t>
      </w:r>
      <w:r w:rsidR="00C22F1B" w:rsidRPr="00523AD2">
        <w:rPr>
          <w:rFonts w:ascii="Calibri" w:hAnsi="Calibri"/>
          <w:b/>
          <w:lang w:val="bg-BG"/>
        </w:rPr>
        <w:t>, т.2 и ал.7 от ЗППЦК и Приложение № 2 към Наредба N:2 от 9.11.2021 г. за първоначално и последващо разкриване на информация при публично предлагане на ценни книжа и допускане на ценни книжа до търговия на регулиран пазар (Приложение № 2), на база анализ на развитието, пазарните тенденции и присъствие, обществената, макро- и микро-икономическата среда, финансово-икономическото състоянието на дружеството за 20</w:t>
      </w:r>
      <w:r w:rsidR="00C22F1B" w:rsidRPr="00523AD2">
        <w:rPr>
          <w:rFonts w:ascii="Calibri" w:hAnsi="Calibri"/>
          <w:b/>
          <w:lang w:val="en-US"/>
        </w:rPr>
        <w:t>21</w:t>
      </w:r>
      <w:r w:rsidR="00C22F1B" w:rsidRPr="00523AD2">
        <w:rPr>
          <w:rFonts w:ascii="Calibri" w:hAnsi="Calibri"/>
          <w:b/>
          <w:lang w:val="bg-BG"/>
        </w:rPr>
        <w:t>г. и перспективите за развитие</w:t>
      </w:r>
      <w:r w:rsidR="00C22F1B" w:rsidRPr="006623F6">
        <w:rPr>
          <w:rFonts w:ascii="Calibri" w:hAnsi="Calibri"/>
          <w:b/>
          <w:lang w:val="bg-BG"/>
        </w:rPr>
        <w:t>.</w:t>
      </w:r>
    </w:p>
    <w:p w14:paraId="0FAE5437" w14:textId="2AEA645D" w:rsidR="001F2D99" w:rsidRPr="006623F6" w:rsidRDefault="001F2D99" w:rsidP="001F2D99">
      <w:pPr>
        <w:pStyle w:val="BodyText2"/>
        <w:tabs>
          <w:tab w:val="clear" w:pos="540"/>
        </w:tabs>
        <w:rPr>
          <w:rFonts w:ascii="Calibri" w:hAnsi="Calibri"/>
          <w:b/>
          <w:lang w:val="bg-BG"/>
        </w:rPr>
      </w:pPr>
      <w:r>
        <w:rPr>
          <w:rFonts w:ascii="Calibri" w:hAnsi="Calibri"/>
          <w:b/>
          <w:lang w:val="bg-BG"/>
        </w:rPr>
        <w:t>и</w:t>
      </w:r>
      <w:r w:rsidRPr="006623F6">
        <w:rPr>
          <w:rFonts w:ascii="Calibri" w:hAnsi="Calibri"/>
          <w:b/>
          <w:lang w:val="bg-BG"/>
        </w:rPr>
        <w:t xml:space="preserve"> перспективите за развитие.</w:t>
      </w:r>
    </w:p>
    <w:p w14:paraId="2DE18B43" w14:textId="77777777" w:rsidR="001F2D99" w:rsidRPr="006623F6" w:rsidRDefault="001F2D99" w:rsidP="001F2D99">
      <w:pPr>
        <w:pStyle w:val="BodyText2"/>
        <w:tabs>
          <w:tab w:val="clear" w:pos="540"/>
        </w:tabs>
        <w:rPr>
          <w:rFonts w:ascii="Calibri" w:hAnsi="Calibri"/>
          <w:b/>
          <w:lang w:val="bg-BG"/>
        </w:rPr>
      </w:pPr>
    </w:p>
    <w:p w14:paraId="40A8558B" w14:textId="77777777" w:rsidR="001F2D99" w:rsidRPr="006623F6" w:rsidRDefault="001F2D99" w:rsidP="001F2D99">
      <w:pPr>
        <w:pStyle w:val="BodyText2"/>
        <w:tabs>
          <w:tab w:val="clear" w:pos="540"/>
        </w:tabs>
        <w:rPr>
          <w:rFonts w:ascii="Calibri" w:hAnsi="Calibri"/>
          <w:b/>
          <w:lang w:val="bg-BG"/>
        </w:rPr>
      </w:pPr>
    </w:p>
    <w:p w14:paraId="14E684EC" w14:textId="77777777" w:rsidR="001F2D99" w:rsidRPr="006623F6" w:rsidRDefault="001F2D99" w:rsidP="001F2D99">
      <w:pPr>
        <w:pStyle w:val="BodyText2"/>
        <w:tabs>
          <w:tab w:val="clear" w:pos="540"/>
        </w:tabs>
        <w:rPr>
          <w:rFonts w:ascii="Calibri" w:hAnsi="Calibri"/>
          <w:b/>
          <w:lang w:val="bg-BG"/>
        </w:rPr>
      </w:pPr>
    </w:p>
    <w:p w14:paraId="6A8619E3" w14:textId="1E7C7C19" w:rsidR="001F2D99" w:rsidRPr="006623F6" w:rsidRDefault="00FB45EA" w:rsidP="001F2D99">
      <w:pPr>
        <w:pStyle w:val="BodyText2"/>
        <w:tabs>
          <w:tab w:val="clear" w:pos="540"/>
        </w:tabs>
        <w:rPr>
          <w:rFonts w:ascii="Calibri" w:hAnsi="Calibri"/>
          <w:b/>
          <w:lang w:val="bg-BG"/>
        </w:rPr>
      </w:pPr>
      <w:proofErr w:type="gramStart"/>
      <w:r>
        <w:rPr>
          <w:rFonts w:ascii="Calibri" w:hAnsi="Calibri"/>
          <w:b/>
          <w:lang w:val="en-US"/>
        </w:rPr>
        <w:t>2</w:t>
      </w:r>
      <w:r w:rsidR="00C22F1B">
        <w:rPr>
          <w:rFonts w:ascii="Calibri" w:hAnsi="Calibri"/>
          <w:b/>
          <w:lang w:val="bg-BG"/>
        </w:rPr>
        <w:t>4</w:t>
      </w:r>
      <w:r w:rsidR="00923795" w:rsidRPr="00B92C99">
        <w:rPr>
          <w:rFonts w:ascii="Calibri" w:hAnsi="Calibri"/>
          <w:b/>
          <w:lang w:val="en-US"/>
        </w:rPr>
        <w:t>.03.</w:t>
      </w:r>
      <w:r w:rsidR="0050173E">
        <w:rPr>
          <w:rFonts w:ascii="Calibri" w:hAnsi="Calibri"/>
          <w:b/>
          <w:lang w:val="bg-BG"/>
        </w:rPr>
        <w:t>2022</w:t>
      </w:r>
      <w:r w:rsidR="001F2D99" w:rsidRPr="00B92C99">
        <w:rPr>
          <w:rFonts w:ascii="Calibri" w:hAnsi="Calibri"/>
          <w:b/>
          <w:lang w:val="bg-BG"/>
        </w:rPr>
        <w:t xml:space="preserve"> г.</w:t>
      </w:r>
      <w:proofErr w:type="gramEnd"/>
      <w:r w:rsidR="001F2D99" w:rsidRPr="006623F6">
        <w:rPr>
          <w:rFonts w:ascii="Calibri" w:hAnsi="Calibri"/>
          <w:b/>
          <w:lang w:val="bg-BG"/>
        </w:rPr>
        <w:tab/>
      </w:r>
      <w:r w:rsidR="001F2D99" w:rsidRPr="006623F6">
        <w:rPr>
          <w:rFonts w:ascii="Calibri" w:hAnsi="Calibri"/>
          <w:b/>
          <w:lang w:val="bg-BG"/>
        </w:rPr>
        <w:tab/>
      </w:r>
      <w:r w:rsidR="001F2D99" w:rsidRPr="006623F6">
        <w:rPr>
          <w:rFonts w:ascii="Calibri" w:hAnsi="Calibri"/>
          <w:b/>
          <w:lang w:val="bg-BG"/>
        </w:rPr>
        <w:tab/>
      </w:r>
      <w:r w:rsidR="001F2D99" w:rsidRPr="006623F6">
        <w:rPr>
          <w:rFonts w:ascii="Calibri" w:hAnsi="Calibri"/>
          <w:b/>
          <w:lang w:val="bg-BG"/>
        </w:rPr>
        <w:tab/>
      </w:r>
      <w:r w:rsidR="004E48C3">
        <w:rPr>
          <w:rFonts w:ascii="Calibri" w:hAnsi="Calibri" w:cs="Arial"/>
          <w:b/>
          <w:bCs/>
          <w:lang w:val="bg-BG"/>
        </w:rPr>
        <w:t>Управител</w:t>
      </w:r>
      <w:r w:rsidR="001F2D99" w:rsidRPr="006623F6">
        <w:rPr>
          <w:rFonts w:ascii="Calibri" w:hAnsi="Calibri"/>
          <w:b/>
          <w:lang w:val="bg-BG"/>
        </w:rPr>
        <w:t>:</w:t>
      </w:r>
      <w:r w:rsidR="001F2D99">
        <w:rPr>
          <w:rFonts w:ascii="Calibri" w:hAnsi="Calibri"/>
          <w:b/>
          <w:lang w:val="bg-BG"/>
        </w:rPr>
        <w:t>.......................................</w:t>
      </w:r>
      <w:r w:rsidR="004E48C3">
        <w:rPr>
          <w:rFonts w:ascii="Calibri" w:hAnsi="Calibri"/>
          <w:b/>
          <w:lang w:val="bg-BG"/>
        </w:rPr>
        <w:t>........</w:t>
      </w:r>
      <w:r w:rsidR="001F2D99">
        <w:rPr>
          <w:rFonts w:ascii="Calibri" w:hAnsi="Calibri"/>
          <w:b/>
          <w:lang w:val="bg-BG"/>
        </w:rPr>
        <w:t>.</w:t>
      </w:r>
    </w:p>
    <w:p w14:paraId="359C1699" w14:textId="77777777" w:rsidR="001F2D99" w:rsidRPr="006623F6" w:rsidRDefault="008C6858" w:rsidP="001F2D99">
      <w:pPr>
        <w:pStyle w:val="BodyText2"/>
        <w:tabs>
          <w:tab w:val="clear" w:pos="540"/>
        </w:tabs>
        <w:rPr>
          <w:rFonts w:ascii="Calibri" w:hAnsi="Calibri"/>
          <w:b/>
          <w:lang w:val="bg-BG"/>
        </w:rPr>
      </w:pPr>
      <w:r>
        <w:rPr>
          <w:rFonts w:ascii="Calibri" w:hAnsi="Calibri"/>
          <w:b/>
          <w:lang w:val="bg-BG"/>
        </w:rPr>
        <w:t>гр.Варна</w:t>
      </w:r>
      <w:r w:rsidR="001F2D99" w:rsidRPr="006623F6">
        <w:rPr>
          <w:rFonts w:ascii="Calibri" w:hAnsi="Calibri"/>
          <w:b/>
          <w:lang w:val="bg-BG"/>
        </w:rPr>
        <w:tab/>
      </w:r>
      <w:r w:rsidR="001F2D99" w:rsidRPr="006623F6">
        <w:rPr>
          <w:rFonts w:ascii="Calibri" w:hAnsi="Calibri"/>
          <w:b/>
          <w:lang w:val="bg-BG"/>
        </w:rPr>
        <w:tab/>
      </w:r>
      <w:r w:rsidR="001F2D99" w:rsidRPr="006623F6">
        <w:rPr>
          <w:rFonts w:ascii="Calibri" w:hAnsi="Calibri"/>
          <w:b/>
          <w:lang w:val="bg-BG"/>
        </w:rPr>
        <w:tab/>
      </w:r>
      <w:r w:rsidR="001F2D99" w:rsidRPr="006623F6">
        <w:rPr>
          <w:rFonts w:ascii="Calibri" w:hAnsi="Calibri"/>
          <w:b/>
          <w:lang w:val="bg-BG"/>
        </w:rPr>
        <w:tab/>
      </w:r>
      <w:r w:rsidR="001F2D99" w:rsidRPr="006623F6">
        <w:rPr>
          <w:rFonts w:ascii="Calibri" w:hAnsi="Calibri"/>
          <w:b/>
          <w:lang w:val="bg-BG"/>
        </w:rPr>
        <w:tab/>
      </w:r>
      <w:r w:rsidR="001F2D99" w:rsidRPr="006623F6">
        <w:rPr>
          <w:rFonts w:ascii="Calibri" w:hAnsi="Calibri"/>
          <w:b/>
          <w:lang w:val="bg-BG"/>
        </w:rPr>
        <w:tab/>
      </w:r>
      <w:r>
        <w:rPr>
          <w:rFonts w:ascii="Calibri" w:hAnsi="Calibri"/>
          <w:b/>
          <w:lang w:val="bg-BG"/>
        </w:rPr>
        <w:t xml:space="preserve">       </w:t>
      </w:r>
      <w:r w:rsidR="001F2D99">
        <w:rPr>
          <w:rFonts w:ascii="Calibri" w:hAnsi="Calibri"/>
          <w:b/>
          <w:lang w:val="bg-BG"/>
        </w:rPr>
        <w:tab/>
      </w:r>
      <w:r w:rsidR="001F2D99" w:rsidRPr="006623F6">
        <w:rPr>
          <w:rFonts w:ascii="Calibri" w:hAnsi="Calibri"/>
          <w:b/>
          <w:lang w:val="bg-BG"/>
        </w:rPr>
        <w:t>(</w:t>
      </w:r>
      <w:r w:rsidR="00FC0485">
        <w:rPr>
          <w:rFonts w:ascii="Calibri" w:hAnsi="Calibri"/>
          <w:b/>
          <w:lang w:val="bg-BG"/>
        </w:rPr>
        <w:t>Румен Илиев Димов</w:t>
      </w:r>
      <w:r w:rsidR="001F2D99" w:rsidRPr="006623F6">
        <w:rPr>
          <w:rFonts w:ascii="Calibri" w:hAnsi="Calibri"/>
          <w:b/>
          <w:lang w:val="bg-BG"/>
        </w:rPr>
        <w:t>)</w:t>
      </w:r>
    </w:p>
    <w:p w14:paraId="401BAC18" w14:textId="77777777" w:rsidR="001F2D99" w:rsidRPr="006623F6" w:rsidRDefault="001F2D99" w:rsidP="001F2D99"/>
    <w:p w14:paraId="00A5FD9F" w14:textId="77777777" w:rsidR="001F2D99" w:rsidRPr="006623F6" w:rsidRDefault="001F2D99" w:rsidP="001F2D99">
      <w:pPr>
        <w:rPr>
          <w:b/>
          <w:i/>
          <w:color w:val="FF0000"/>
        </w:rPr>
      </w:pPr>
    </w:p>
    <w:p w14:paraId="7AFF7BA0" w14:textId="77777777" w:rsidR="001F2D99" w:rsidRPr="006623F6" w:rsidRDefault="001F2D99" w:rsidP="001F2D99">
      <w:pPr>
        <w:rPr>
          <w:b/>
          <w:i/>
          <w:color w:val="FF0000"/>
        </w:rPr>
      </w:pPr>
    </w:p>
    <w:p w14:paraId="3636922D" w14:textId="77777777" w:rsidR="001F2D99" w:rsidRPr="006623F6" w:rsidRDefault="001F2D99" w:rsidP="001F2D99">
      <w:pPr>
        <w:rPr>
          <w:b/>
          <w:i/>
          <w:color w:val="FF0000"/>
        </w:rPr>
      </w:pPr>
    </w:p>
    <w:p w14:paraId="6692A0B0" w14:textId="77777777" w:rsidR="001F2D99" w:rsidRPr="006623F6" w:rsidRDefault="001F2D99" w:rsidP="001F2D99">
      <w:pPr>
        <w:rPr>
          <w:b/>
          <w:i/>
          <w:color w:val="FF0000"/>
        </w:rPr>
      </w:pPr>
    </w:p>
    <w:p w14:paraId="222B5FB3" w14:textId="77777777" w:rsidR="001F2D99" w:rsidRPr="006623F6" w:rsidRDefault="001F2D99" w:rsidP="001F2D99">
      <w:pPr>
        <w:rPr>
          <w:b/>
          <w:i/>
          <w:color w:val="FF0000"/>
        </w:rPr>
      </w:pPr>
    </w:p>
    <w:p w14:paraId="75030EBF" w14:textId="77777777" w:rsidR="001F2D99" w:rsidRPr="006623F6" w:rsidRDefault="001F2D99" w:rsidP="001F2D99">
      <w:pPr>
        <w:rPr>
          <w:b/>
          <w:i/>
          <w:color w:val="FF0000"/>
        </w:rPr>
      </w:pPr>
    </w:p>
    <w:p w14:paraId="1159A27C" w14:textId="77777777" w:rsidR="001F2D99" w:rsidRDefault="001F2D99" w:rsidP="001F2D99">
      <w:pPr>
        <w:rPr>
          <w:b/>
          <w:i/>
          <w:color w:val="FF0000"/>
        </w:rPr>
      </w:pPr>
    </w:p>
    <w:p w14:paraId="36BB3482" w14:textId="77777777" w:rsidR="001F2D99" w:rsidRDefault="001F2D99" w:rsidP="001F2D99">
      <w:pPr>
        <w:rPr>
          <w:b/>
          <w:i/>
          <w:color w:val="FF0000"/>
        </w:rPr>
      </w:pPr>
    </w:p>
    <w:p w14:paraId="46DA2150" w14:textId="77777777" w:rsidR="001F2D99" w:rsidRDefault="001F2D99" w:rsidP="001F2D99">
      <w:pPr>
        <w:rPr>
          <w:b/>
          <w:i/>
          <w:color w:val="FF0000"/>
        </w:rPr>
      </w:pPr>
    </w:p>
    <w:p w14:paraId="393CDBD8" w14:textId="77777777" w:rsidR="001F2D99" w:rsidRDefault="001F2D99" w:rsidP="001F2D99">
      <w:pPr>
        <w:rPr>
          <w:b/>
          <w:i/>
          <w:color w:val="FF0000"/>
        </w:rPr>
      </w:pPr>
    </w:p>
    <w:p w14:paraId="6ECAC8E1" w14:textId="77777777" w:rsidR="001F2D99" w:rsidRDefault="001F2D99" w:rsidP="001F2D99">
      <w:pPr>
        <w:rPr>
          <w:b/>
          <w:i/>
          <w:color w:val="FF0000"/>
        </w:rPr>
      </w:pPr>
    </w:p>
    <w:p w14:paraId="748950A7" w14:textId="77777777" w:rsidR="001F2D99" w:rsidRDefault="001F2D99" w:rsidP="001F2D99">
      <w:pPr>
        <w:rPr>
          <w:b/>
          <w:i/>
          <w:color w:val="FF0000"/>
        </w:rPr>
      </w:pPr>
    </w:p>
    <w:p w14:paraId="52E80CAE" w14:textId="77777777" w:rsidR="001F2D99" w:rsidRDefault="001F2D99" w:rsidP="001F2D99">
      <w:pPr>
        <w:rPr>
          <w:b/>
          <w:i/>
          <w:color w:val="FF0000"/>
        </w:rPr>
      </w:pPr>
    </w:p>
    <w:p w14:paraId="2B3B4C59" w14:textId="77777777" w:rsidR="001F2D99" w:rsidRDefault="001F2D99" w:rsidP="001F2D99">
      <w:pPr>
        <w:rPr>
          <w:b/>
          <w:i/>
          <w:color w:val="FF0000"/>
        </w:rPr>
      </w:pPr>
    </w:p>
    <w:p w14:paraId="1CECC3B5" w14:textId="77777777" w:rsidR="001F2D99" w:rsidRDefault="001F2D99" w:rsidP="001F2D99">
      <w:pPr>
        <w:rPr>
          <w:b/>
          <w:i/>
          <w:color w:val="FF0000"/>
        </w:rPr>
      </w:pPr>
    </w:p>
    <w:p w14:paraId="421CB445" w14:textId="77777777" w:rsidR="001F2D99" w:rsidRDefault="001F2D99" w:rsidP="001F2D99">
      <w:pPr>
        <w:rPr>
          <w:b/>
          <w:i/>
          <w:color w:val="FF0000"/>
        </w:rPr>
      </w:pPr>
    </w:p>
    <w:p w14:paraId="623C99C6" w14:textId="77777777" w:rsidR="001F2D99" w:rsidRDefault="001F2D99" w:rsidP="001F2D99">
      <w:pPr>
        <w:rPr>
          <w:b/>
          <w:i/>
          <w:color w:val="FF0000"/>
        </w:rPr>
      </w:pPr>
    </w:p>
    <w:p w14:paraId="49E4318C" w14:textId="77777777" w:rsidR="001F2D99" w:rsidRDefault="001F2D99" w:rsidP="001F2D99">
      <w:pPr>
        <w:rPr>
          <w:b/>
          <w:i/>
          <w:color w:val="FF0000"/>
        </w:rPr>
      </w:pPr>
    </w:p>
    <w:p w14:paraId="524DA1EC" w14:textId="77777777" w:rsidR="001F2D99" w:rsidRDefault="001F2D99" w:rsidP="001F2D99">
      <w:pPr>
        <w:rPr>
          <w:b/>
          <w:i/>
          <w:color w:val="FF0000"/>
        </w:rPr>
      </w:pPr>
    </w:p>
    <w:p w14:paraId="0749C151" w14:textId="77777777" w:rsidR="001F2D99" w:rsidRDefault="001F2D99" w:rsidP="001F2D99">
      <w:pPr>
        <w:rPr>
          <w:b/>
          <w:i/>
          <w:color w:val="FF0000"/>
        </w:rPr>
      </w:pPr>
    </w:p>
    <w:p w14:paraId="3389E717" w14:textId="77777777" w:rsidR="001F2D99" w:rsidRDefault="001F2D99" w:rsidP="001F2D99">
      <w:pPr>
        <w:rPr>
          <w:b/>
          <w:i/>
          <w:color w:val="FF0000"/>
        </w:rPr>
      </w:pPr>
    </w:p>
    <w:p w14:paraId="4C732CB4" w14:textId="77777777" w:rsidR="001F2D99" w:rsidRDefault="001F2D99" w:rsidP="001F2D99">
      <w:pPr>
        <w:rPr>
          <w:b/>
          <w:i/>
          <w:color w:val="FF0000"/>
        </w:rPr>
      </w:pPr>
    </w:p>
    <w:p w14:paraId="7986DCF0" w14:textId="77777777" w:rsidR="001F2D99" w:rsidRDefault="001F2D99" w:rsidP="001F2D99">
      <w:pPr>
        <w:rPr>
          <w:b/>
          <w:i/>
          <w:color w:val="FF0000"/>
        </w:rPr>
      </w:pPr>
    </w:p>
    <w:p w14:paraId="45D6E470" w14:textId="77777777" w:rsidR="001F2D99" w:rsidRDefault="001F2D99" w:rsidP="001F2D99">
      <w:pPr>
        <w:rPr>
          <w:b/>
          <w:i/>
          <w:color w:val="FF0000"/>
        </w:rPr>
      </w:pPr>
    </w:p>
    <w:p w14:paraId="60068343" w14:textId="77777777" w:rsidR="001F2D99" w:rsidRDefault="001F2D99" w:rsidP="001F2D99">
      <w:pPr>
        <w:rPr>
          <w:b/>
          <w:i/>
          <w:color w:val="FF0000"/>
        </w:rPr>
      </w:pPr>
    </w:p>
    <w:p w14:paraId="74E694BA" w14:textId="77777777" w:rsidR="001F2D99" w:rsidRDefault="001F2D99" w:rsidP="001F2D99">
      <w:pPr>
        <w:rPr>
          <w:b/>
          <w:i/>
          <w:color w:val="FF0000"/>
        </w:rPr>
      </w:pPr>
    </w:p>
    <w:p w14:paraId="4CE49948" w14:textId="77777777" w:rsidR="001F2D99" w:rsidRDefault="001F2D99" w:rsidP="001F2D99">
      <w:pPr>
        <w:rPr>
          <w:b/>
          <w:i/>
          <w:color w:val="FF0000"/>
        </w:rPr>
      </w:pPr>
    </w:p>
    <w:p w14:paraId="78D946C7" w14:textId="77777777" w:rsidR="001F2D99" w:rsidRDefault="001F2D99" w:rsidP="001F2D99">
      <w:pPr>
        <w:rPr>
          <w:b/>
          <w:i/>
          <w:color w:val="FF0000"/>
        </w:rPr>
      </w:pPr>
    </w:p>
    <w:p w14:paraId="427D4883" w14:textId="77777777" w:rsidR="001F2D99" w:rsidRDefault="001F2D99" w:rsidP="001F2D99">
      <w:pPr>
        <w:rPr>
          <w:b/>
          <w:i/>
          <w:color w:val="FF0000"/>
        </w:rPr>
      </w:pPr>
    </w:p>
    <w:p w14:paraId="5B53AC1F" w14:textId="77777777" w:rsidR="001F2D99" w:rsidRDefault="001F2D99" w:rsidP="001F2D99">
      <w:pPr>
        <w:rPr>
          <w:b/>
          <w:i/>
          <w:color w:val="FF0000"/>
        </w:rPr>
      </w:pPr>
    </w:p>
    <w:p w14:paraId="33FEF5A2" w14:textId="77777777" w:rsidR="001F2D99" w:rsidRDefault="001F2D99" w:rsidP="001F2D99">
      <w:pPr>
        <w:rPr>
          <w:b/>
          <w:i/>
          <w:color w:val="FF0000"/>
        </w:rPr>
      </w:pPr>
    </w:p>
    <w:p w14:paraId="57220F8F" w14:textId="77777777" w:rsidR="001F2D99" w:rsidRDefault="001F2D99" w:rsidP="001F2D99">
      <w:pPr>
        <w:rPr>
          <w:b/>
          <w:i/>
          <w:color w:val="FF0000"/>
        </w:rPr>
      </w:pPr>
    </w:p>
    <w:p w14:paraId="50BBB445" w14:textId="77777777" w:rsidR="001F2D99" w:rsidRDefault="001F2D99" w:rsidP="001F2D99">
      <w:pPr>
        <w:rPr>
          <w:b/>
          <w:i/>
          <w:color w:val="FF0000"/>
        </w:rPr>
      </w:pPr>
    </w:p>
    <w:p w14:paraId="4BFF944E" w14:textId="77777777" w:rsidR="001F2D99" w:rsidRDefault="001F2D99" w:rsidP="001F2D99">
      <w:pPr>
        <w:rPr>
          <w:b/>
          <w:i/>
          <w:color w:val="FF0000"/>
        </w:rPr>
      </w:pPr>
    </w:p>
    <w:p w14:paraId="26E95AFD" w14:textId="77777777" w:rsidR="001F2D99" w:rsidRDefault="001F2D99" w:rsidP="001F2D99">
      <w:pPr>
        <w:rPr>
          <w:b/>
          <w:i/>
          <w:color w:val="FF0000"/>
        </w:rPr>
      </w:pPr>
    </w:p>
    <w:p w14:paraId="61546FE7" w14:textId="77777777" w:rsidR="001F2D99" w:rsidRDefault="001F2D99" w:rsidP="001F2D99">
      <w:pPr>
        <w:rPr>
          <w:b/>
          <w:i/>
          <w:color w:val="FF0000"/>
        </w:rPr>
      </w:pPr>
    </w:p>
    <w:p w14:paraId="7F55E281" w14:textId="77777777" w:rsidR="001F2D99" w:rsidRDefault="001F2D99" w:rsidP="001F2D99">
      <w:pPr>
        <w:rPr>
          <w:b/>
          <w:i/>
          <w:color w:val="FF0000"/>
        </w:rPr>
      </w:pPr>
    </w:p>
    <w:p w14:paraId="1CDF7D28" w14:textId="77777777" w:rsidR="001F2D99" w:rsidRDefault="001F2D99" w:rsidP="001F2D99">
      <w:pPr>
        <w:rPr>
          <w:b/>
          <w:i/>
          <w:color w:val="FF0000"/>
        </w:rPr>
      </w:pPr>
    </w:p>
    <w:p w14:paraId="44D1189C" w14:textId="77777777" w:rsidR="001F2D99" w:rsidRPr="00316233" w:rsidRDefault="001F2D99" w:rsidP="001F2D99">
      <w:pPr>
        <w:jc w:val="center"/>
        <w:rPr>
          <w:b/>
          <w:i/>
          <w:color w:val="339966"/>
          <w:sz w:val="28"/>
          <w:szCs w:val="28"/>
          <w14:shadow w14:blurRad="50800" w14:dist="38100" w14:dir="2700000" w14:sx="100000" w14:sy="100000" w14:kx="0" w14:ky="0" w14:algn="tl">
            <w14:srgbClr w14:val="000000">
              <w14:alpha w14:val="60000"/>
            </w14:srgbClr>
          </w14:shadow>
        </w:rPr>
      </w:pPr>
    </w:p>
    <w:p w14:paraId="24A9F18A" w14:textId="77777777" w:rsidR="001F2D99" w:rsidRPr="00316233" w:rsidRDefault="00051FC4" w:rsidP="002228B1">
      <w:pPr>
        <w:pStyle w:val="NoSpacing"/>
        <w:shd w:val="clear" w:color="auto" w:fill="E36C0A"/>
        <w:autoSpaceDE w:val="0"/>
        <w:autoSpaceDN w:val="0"/>
        <w:adjustRightInd w:val="0"/>
        <w:jc w:val="both"/>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pPr>
      <w:r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lastRenderedPageBreak/>
        <w:t>I</w:t>
      </w:r>
      <w:r w:rsidR="0074615C"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0074615C"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ОБЩА ИНФОРМАЦИЯ</w:t>
      </w:r>
    </w:p>
    <w:p w14:paraId="26A3FEF2" w14:textId="77777777" w:rsidR="001F2D99" w:rsidRPr="00316233" w:rsidRDefault="001F2D99" w:rsidP="001F2D99">
      <w:pPr>
        <w:rPr>
          <w:color w:val="FF0000"/>
          <w14:shadow w14:blurRad="50800" w14:dist="38100" w14:dir="2700000" w14:sx="100000" w14:sy="100000" w14:kx="0" w14:ky="0" w14:algn="tl">
            <w14:srgbClr w14:val="000000">
              <w14:alpha w14:val="60000"/>
            </w14:srgbClr>
          </w14:shadow>
        </w:rPr>
      </w:pPr>
    </w:p>
    <w:p w14:paraId="7C784C26" w14:textId="77777777" w:rsidR="001F2D99" w:rsidRPr="00497B7A" w:rsidRDefault="001F2D99" w:rsidP="001F2D99">
      <w:pPr>
        <w:tabs>
          <w:tab w:val="left" w:pos="227"/>
          <w:tab w:val="left" w:pos="1260"/>
          <w:tab w:val="left" w:pos="3742"/>
        </w:tabs>
        <w:ind w:left="113" w:right="114"/>
        <w:jc w:val="both"/>
      </w:pPr>
      <w:r w:rsidRPr="006623F6">
        <w:t xml:space="preserve">Дружеството е вписано в Търговския регистър </w:t>
      </w:r>
      <w:r>
        <w:t xml:space="preserve">към Агенцията по вписванията с ЕИК </w:t>
      </w:r>
      <w:r w:rsidR="008925A7">
        <w:t>103514755</w:t>
      </w:r>
    </w:p>
    <w:p w14:paraId="2E0E3D86" w14:textId="77777777" w:rsidR="001F2D99" w:rsidRPr="006623F6" w:rsidRDefault="001F2D99" w:rsidP="001F2D99">
      <w:pPr>
        <w:tabs>
          <w:tab w:val="left" w:pos="567"/>
          <w:tab w:val="left" w:pos="2880"/>
        </w:tabs>
        <w:ind w:left="113" w:right="114" w:firstLine="67"/>
        <w:jc w:val="both"/>
        <w:rPr>
          <w:b/>
          <w:i/>
          <w:color w:val="0000FF"/>
        </w:rPr>
      </w:pPr>
    </w:p>
    <w:p w14:paraId="735B10EC" w14:textId="77777777" w:rsidR="001F2D99" w:rsidRPr="00861EDA" w:rsidRDefault="001F2D99" w:rsidP="001F2D99">
      <w:pPr>
        <w:tabs>
          <w:tab w:val="left" w:pos="567"/>
          <w:tab w:val="left" w:pos="2880"/>
        </w:tabs>
        <w:ind w:left="113" w:right="114" w:firstLine="67"/>
        <w:jc w:val="both"/>
        <w:rPr>
          <w:b/>
          <w:color w:val="632423"/>
        </w:rPr>
      </w:pPr>
      <w:r w:rsidRPr="002228B1">
        <w:rPr>
          <w:b/>
          <w:i/>
          <w:color w:val="E36C0A"/>
        </w:rPr>
        <w:t>Фирма:</w:t>
      </w:r>
      <w:r w:rsidRPr="000E099F">
        <w:rPr>
          <w:b/>
          <w:i/>
          <w:color w:val="632423"/>
        </w:rPr>
        <w:tab/>
      </w:r>
      <w:r w:rsidRPr="00861EDA">
        <w:rPr>
          <w:b/>
          <w:i/>
        </w:rPr>
        <w:t>“</w:t>
      </w:r>
      <w:r w:rsidR="008C6858">
        <w:rPr>
          <w:b/>
          <w:i/>
        </w:rPr>
        <w:t xml:space="preserve">ДКЦ Чайка </w:t>
      </w:r>
      <w:r w:rsidRPr="00861EDA">
        <w:rPr>
          <w:b/>
          <w:i/>
        </w:rPr>
        <w:t>”</w:t>
      </w:r>
      <w:r w:rsidR="0043526A">
        <w:rPr>
          <w:b/>
          <w:i/>
          <w:lang w:val="en-US"/>
        </w:rPr>
        <w:t>E</w:t>
      </w:r>
      <w:r w:rsidRPr="00861EDA">
        <w:rPr>
          <w:b/>
          <w:i/>
        </w:rPr>
        <w:t xml:space="preserve"> </w:t>
      </w:r>
      <w:r w:rsidR="0086497B">
        <w:rPr>
          <w:b/>
          <w:i/>
        </w:rPr>
        <w:t>ОО</w:t>
      </w:r>
      <w:r w:rsidRPr="00861EDA">
        <w:rPr>
          <w:b/>
          <w:i/>
        </w:rPr>
        <w:t>Д</w:t>
      </w:r>
      <w:r w:rsidR="00861EDA">
        <w:rPr>
          <w:b/>
          <w:i/>
        </w:rPr>
        <w:t xml:space="preserve"> </w:t>
      </w:r>
    </w:p>
    <w:p w14:paraId="07A5265F" w14:textId="77777777" w:rsidR="001F2D99" w:rsidRPr="006623F6" w:rsidRDefault="001F2D99" w:rsidP="001F2D99">
      <w:pPr>
        <w:tabs>
          <w:tab w:val="left" w:pos="567"/>
          <w:tab w:val="left" w:pos="2880"/>
        </w:tabs>
        <w:ind w:left="113" w:right="114" w:firstLine="67"/>
        <w:jc w:val="both"/>
      </w:pPr>
      <w:r w:rsidRPr="002228B1">
        <w:rPr>
          <w:b/>
          <w:i/>
          <w:color w:val="E36C0A"/>
        </w:rPr>
        <w:t>Седалище:</w:t>
      </w:r>
      <w:r w:rsidRPr="006623F6">
        <w:rPr>
          <w:b/>
          <w:i/>
        </w:rPr>
        <w:tab/>
      </w:r>
      <w:r w:rsidR="00861EDA">
        <w:t>гр.</w:t>
      </w:r>
      <w:r w:rsidR="008C6858">
        <w:t>Варна</w:t>
      </w:r>
    </w:p>
    <w:p w14:paraId="65BDCF12" w14:textId="77777777" w:rsidR="001F2D99" w:rsidRPr="006623F6" w:rsidRDefault="001F2D99" w:rsidP="001F2D99">
      <w:pPr>
        <w:tabs>
          <w:tab w:val="left" w:pos="567"/>
          <w:tab w:val="left" w:pos="2880"/>
        </w:tabs>
        <w:ind w:left="113" w:right="114" w:firstLine="67"/>
        <w:jc w:val="both"/>
      </w:pPr>
      <w:r w:rsidRPr="002228B1">
        <w:rPr>
          <w:b/>
          <w:i/>
          <w:color w:val="E36C0A"/>
        </w:rPr>
        <w:t>Адрес на управление:</w:t>
      </w:r>
      <w:r w:rsidRPr="006623F6">
        <w:rPr>
          <w:b/>
          <w:i/>
        </w:rPr>
        <w:tab/>
      </w:r>
      <w:r w:rsidR="008C6858">
        <w:t>гр.Варна</w:t>
      </w:r>
    </w:p>
    <w:p w14:paraId="3DBDC719" w14:textId="77777777" w:rsidR="001F2D99" w:rsidRPr="006623F6" w:rsidRDefault="001F2D99" w:rsidP="001F2D99">
      <w:pPr>
        <w:tabs>
          <w:tab w:val="left" w:pos="567"/>
          <w:tab w:val="left" w:pos="2880"/>
        </w:tabs>
        <w:ind w:left="113" w:right="114" w:firstLine="67"/>
        <w:jc w:val="both"/>
      </w:pPr>
      <w:r w:rsidRPr="002228B1">
        <w:rPr>
          <w:b/>
          <w:i/>
          <w:color w:val="E36C0A"/>
        </w:rPr>
        <w:t>Предмет на дейност:</w:t>
      </w:r>
      <w:r w:rsidRPr="006623F6">
        <w:tab/>
      </w:r>
      <w:r w:rsidR="008C6858">
        <w:t xml:space="preserve">Осъществяване на извънболнична медицинска дейност </w:t>
      </w:r>
    </w:p>
    <w:p w14:paraId="348BD097" w14:textId="77777777" w:rsidR="001F2D99" w:rsidRPr="006623F6" w:rsidRDefault="001F2D99" w:rsidP="001F2D99">
      <w:pPr>
        <w:tabs>
          <w:tab w:val="left" w:pos="567"/>
          <w:tab w:val="left" w:pos="2880"/>
        </w:tabs>
        <w:ind w:left="180" w:right="114"/>
        <w:jc w:val="both"/>
      </w:pPr>
      <w:r w:rsidRPr="002228B1">
        <w:rPr>
          <w:b/>
          <w:i/>
          <w:color w:val="E36C0A"/>
        </w:rPr>
        <w:t>Собственост:</w:t>
      </w:r>
      <w:r w:rsidRPr="006623F6">
        <w:rPr>
          <w:color w:val="3366FF"/>
        </w:rPr>
        <w:t xml:space="preserve"> </w:t>
      </w:r>
      <w:r w:rsidRPr="006623F6">
        <w:tab/>
        <w:t>Дружеството е:</w:t>
      </w:r>
    </w:p>
    <w:p w14:paraId="72CE07C5" w14:textId="77777777" w:rsidR="001F2D99" w:rsidRPr="006623F6" w:rsidRDefault="001F2D99" w:rsidP="001F2D99">
      <w:pPr>
        <w:tabs>
          <w:tab w:val="left" w:pos="567"/>
          <w:tab w:val="left" w:pos="2880"/>
        </w:tabs>
        <w:ind w:left="180" w:right="114"/>
        <w:jc w:val="both"/>
      </w:pPr>
      <w:r w:rsidRPr="006623F6">
        <w:tab/>
      </w:r>
      <w:r w:rsidRPr="006623F6">
        <w:tab/>
      </w:r>
      <w:r w:rsidR="008C6858">
        <w:t>100</w:t>
      </w:r>
      <w:r w:rsidRPr="006623F6">
        <w:t>% - общинска собственост;</w:t>
      </w:r>
    </w:p>
    <w:p w14:paraId="650D0561" w14:textId="77777777" w:rsidR="001F2D99" w:rsidRPr="006623F6" w:rsidRDefault="001F2D99" w:rsidP="001F2D99">
      <w:pPr>
        <w:tabs>
          <w:tab w:val="left" w:pos="567"/>
          <w:tab w:val="left" w:pos="2880"/>
        </w:tabs>
        <w:ind w:left="180" w:right="114"/>
        <w:jc w:val="both"/>
      </w:pPr>
    </w:p>
    <w:p w14:paraId="3F943AF9" w14:textId="77777777" w:rsidR="001F2D99" w:rsidRDefault="001F2D99" w:rsidP="001F2D99">
      <w:pPr>
        <w:tabs>
          <w:tab w:val="left" w:pos="567"/>
          <w:tab w:val="left" w:pos="2880"/>
        </w:tabs>
        <w:ind w:left="2880" w:right="114" w:hanging="2700"/>
        <w:jc w:val="both"/>
      </w:pPr>
      <w:r w:rsidRPr="002228B1">
        <w:rPr>
          <w:b/>
          <w:i/>
          <w:color w:val="E36C0A"/>
        </w:rPr>
        <w:t>Капитал:</w:t>
      </w:r>
      <w:r w:rsidRPr="006623F6">
        <w:tab/>
        <w:t xml:space="preserve">Дружеството е с капитал </w:t>
      </w:r>
      <w:r w:rsidR="008C6858">
        <w:t xml:space="preserve"> 314 700</w:t>
      </w:r>
      <w:r w:rsidRPr="006623F6">
        <w:t>л</w:t>
      </w:r>
      <w:r>
        <w:t>в.</w:t>
      </w:r>
      <w:r w:rsidRPr="006623F6">
        <w:t xml:space="preserve">, разпределен </w:t>
      </w:r>
      <w:r>
        <w:t>в</w:t>
      </w:r>
      <w:r w:rsidR="008C6858">
        <w:t xml:space="preserve"> 3 147</w:t>
      </w:r>
      <w:r w:rsidRPr="006623F6">
        <w:t xml:space="preserve"> бр. </w:t>
      </w:r>
      <w:r w:rsidR="0086497B">
        <w:t>дялове</w:t>
      </w:r>
      <w:r w:rsidRPr="006623F6">
        <w:t xml:space="preserve"> с номинална стойност </w:t>
      </w:r>
      <w:r w:rsidR="008C6858">
        <w:t>100</w:t>
      </w:r>
      <w:r w:rsidRPr="006623F6">
        <w:t xml:space="preserve"> л</w:t>
      </w:r>
      <w:r>
        <w:t>в.</w:t>
      </w:r>
      <w:r w:rsidRPr="006623F6">
        <w:t xml:space="preserve"> всеки един.</w:t>
      </w:r>
    </w:p>
    <w:p w14:paraId="34A7290A" w14:textId="77777777" w:rsidR="0090076C" w:rsidRDefault="0090076C" w:rsidP="001F2D99">
      <w:pPr>
        <w:tabs>
          <w:tab w:val="left" w:pos="567"/>
          <w:tab w:val="left" w:pos="2880"/>
        </w:tabs>
        <w:ind w:left="2880" w:right="114" w:hanging="2700"/>
        <w:jc w:val="both"/>
      </w:pPr>
    </w:p>
    <w:tbl>
      <w:tblPr>
        <w:tblW w:w="0" w:type="auto"/>
        <w:tblInd w:w="2943"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ayout w:type="fixed"/>
        <w:tblLook w:val="0000" w:firstRow="0" w:lastRow="0" w:firstColumn="0" w:lastColumn="0" w:noHBand="0" w:noVBand="0"/>
      </w:tblPr>
      <w:tblGrid>
        <w:gridCol w:w="3780"/>
        <w:gridCol w:w="2520"/>
      </w:tblGrid>
      <w:tr w:rsidR="001F2D99" w:rsidRPr="00F57060" w14:paraId="779444F8" w14:textId="77777777" w:rsidTr="002228B1">
        <w:tc>
          <w:tcPr>
            <w:tcW w:w="3780" w:type="dxa"/>
            <w:tcBorders>
              <w:top w:val="single" w:sz="8" w:space="0" w:color="FFFFFF"/>
              <w:left w:val="single" w:sz="8" w:space="0" w:color="FFFFFF"/>
              <w:right w:val="single" w:sz="8" w:space="0" w:color="FFFFFF"/>
            </w:tcBorders>
            <w:shd w:val="clear" w:color="auto" w:fill="FABF8F"/>
          </w:tcPr>
          <w:p w14:paraId="0BDE4285" w14:textId="77777777" w:rsidR="001F2D99" w:rsidRPr="00F57060" w:rsidRDefault="0086497B" w:rsidP="00F57060">
            <w:pPr>
              <w:pStyle w:val="Title"/>
              <w:tabs>
                <w:tab w:val="left" w:pos="1834"/>
              </w:tabs>
              <w:rPr>
                <w:rFonts w:ascii="Calibri" w:hAnsi="Calibri"/>
                <w:sz w:val="22"/>
                <w:szCs w:val="22"/>
              </w:rPr>
            </w:pPr>
            <w:r>
              <w:rPr>
                <w:rFonts w:ascii="Calibri" w:hAnsi="Calibri"/>
                <w:sz w:val="22"/>
                <w:szCs w:val="22"/>
                <w:lang w:val="bg-BG"/>
              </w:rPr>
              <w:t>Съдружници</w:t>
            </w:r>
            <w:r w:rsidR="001F2D99" w:rsidRPr="00F57060">
              <w:rPr>
                <w:rFonts w:ascii="Calibri" w:hAnsi="Calibri"/>
                <w:sz w:val="22"/>
                <w:szCs w:val="22"/>
                <w:lang w:val="bg-BG"/>
              </w:rPr>
              <w:t>:</w:t>
            </w:r>
          </w:p>
        </w:tc>
        <w:tc>
          <w:tcPr>
            <w:tcW w:w="2520" w:type="dxa"/>
            <w:tcBorders>
              <w:top w:val="single" w:sz="8" w:space="0" w:color="FFFFFF"/>
              <w:left w:val="single" w:sz="8" w:space="0" w:color="FFFFFF"/>
              <w:bottom w:val="single" w:sz="8" w:space="0" w:color="FFFFFF"/>
              <w:right w:val="single" w:sz="8" w:space="0" w:color="FFFFFF"/>
            </w:tcBorders>
            <w:shd w:val="clear" w:color="auto" w:fill="FABF8F"/>
          </w:tcPr>
          <w:p w14:paraId="68AAB2A5" w14:textId="77777777" w:rsidR="001F2D99" w:rsidRPr="00F57060" w:rsidRDefault="001F2D99" w:rsidP="00F57060">
            <w:pPr>
              <w:pStyle w:val="Title"/>
              <w:tabs>
                <w:tab w:val="left" w:pos="1834"/>
              </w:tabs>
              <w:rPr>
                <w:rFonts w:ascii="Calibri" w:hAnsi="Calibri"/>
                <w:sz w:val="22"/>
                <w:szCs w:val="22"/>
              </w:rPr>
            </w:pPr>
            <w:r w:rsidRPr="00F57060">
              <w:rPr>
                <w:rFonts w:ascii="Calibri" w:hAnsi="Calibri"/>
                <w:sz w:val="22"/>
                <w:szCs w:val="22"/>
              </w:rPr>
              <w:t>Участие в капитала:</w:t>
            </w:r>
          </w:p>
        </w:tc>
      </w:tr>
      <w:tr w:rsidR="001F2D99" w:rsidRPr="00F57060" w14:paraId="04D283B8" w14:textId="77777777" w:rsidTr="002228B1">
        <w:tc>
          <w:tcPr>
            <w:tcW w:w="3780" w:type="dxa"/>
            <w:tcBorders>
              <w:left w:val="single" w:sz="8" w:space="0" w:color="FFFFFF"/>
              <w:right w:val="single" w:sz="8" w:space="0" w:color="FFFFFF"/>
            </w:tcBorders>
            <w:shd w:val="clear" w:color="auto" w:fill="FABF8F"/>
          </w:tcPr>
          <w:p w14:paraId="0E26E6EB" w14:textId="77777777" w:rsidR="001F2D99" w:rsidRPr="00CA399A" w:rsidRDefault="00CA399A" w:rsidP="00F57060">
            <w:pPr>
              <w:pStyle w:val="Title"/>
              <w:tabs>
                <w:tab w:val="left" w:pos="1834"/>
              </w:tabs>
              <w:jc w:val="left"/>
              <w:rPr>
                <w:rFonts w:ascii="Calibri" w:hAnsi="Calibri"/>
                <w:b w:val="0"/>
                <w:color w:val="333333"/>
                <w:lang w:val="bg-BG"/>
              </w:rPr>
            </w:pPr>
            <w:r>
              <w:rPr>
                <w:rFonts w:ascii="Calibri" w:hAnsi="Calibri"/>
                <w:b w:val="0"/>
                <w:color w:val="333333"/>
                <w:lang w:val="bg-BG"/>
              </w:rPr>
              <w:t>Община Варна</w:t>
            </w:r>
          </w:p>
        </w:tc>
        <w:tc>
          <w:tcPr>
            <w:tcW w:w="2520" w:type="dxa"/>
            <w:shd w:val="clear" w:color="auto" w:fill="FDE9D9"/>
          </w:tcPr>
          <w:p w14:paraId="05756C90" w14:textId="77777777" w:rsidR="001F2D99" w:rsidRPr="00CA399A" w:rsidRDefault="00CA399A" w:rsidP="00F57060">
            <w:pPr>
              <w:pStyle w:val="Title"/>
              <w:tabs>
                <w:tab w:val="left" w:pos="1834"/>
              </w:tabs>
              <w:jc w:val="right"/>
              <w:rPr>
                <w:rFonts w:ascii="Calibri" w:hAnsi="Calibri"/>
                <w:b w:val="0"/>
                <w:color w:val="333333"/>
                <w:lang w:val="bg-BG"/>
              </w:rPr>
            </w:pPr>
            <w:r>
              <w:rPr>
                <w:rFonts w:ascii="Calibri" w:hAnsi="Calibri"/>
                <w:b w:val="0"/>
                <w:color w:val="333333"/>
                <w:lang w:val="bg-BG"/>
              </w:rPr>
              <w:t>100.00%</w:t>
            </w:r>
          </w:p>
        </w:tc>
      </w:tr>
      <w:tr w:rsidR="001F2D99" w:rsidRPr="00F57060" w14:paraId="79714E57" w14:textId="77777777" w:rsidTr="002228B1">
        <w:tc>
          <w:tcPr>
            <w:tcW w:w="3780" w:type="dxa"/>
            <w:tcBorders>
              <w:left w:val="single" w:sz="8" w:space="0" w:color="FFFFFF"/>
              <w:bottom w:val="single" w:sz="8" w:space="0" w:color="FFFFFF"/>
              <w:right w:val="single" w:sz="8" w:space="0" w:color="FFFFFF"/>
            </w:tcBorders>
            <w:shd w:val="clear" w:color="auto" w:fill="FABF8F"/>
          </w:tcPr>
          <w:p w14:paraId="1B13CE30" w14:textId="77777777" w:rsidR="001F2D99" w:rsidRPr="00F57060" w:rsidRDefault="001F2D99" w:rsidP="00F57060">
            <w:pPr>
              <w:pStyle w:val="Title"/>
              <w:tabs>
                <w:tab w:val="left" w:pos="1834"/>
              </w:tabs>
              <w:jc w:val="left"/>
              <w:rPr>
                <w:rFonts w:ascii="Calibri" w:hAnsi="Calibri"/>
              </w:rPr>
            </w:pPr>
            <w:r w:rsidRPr="00F57060">
              <w:rPr>
                <w:rFonts w:ascii="Calibri" w:hAnsi="Calibri"/>
              </w:rPr>
              <w:t>Общо:</w:t>
            </w:r>
          </w:p>
        </w:tc>
        <w:tc>
          <w:tcPr>
            <w:tcW w:w="2520" w:type="dxa"/>
            <w:shd w:val="clear" w:color="auto" w:fill="FDE9D9"/>
          </w:tcPr>
          <w:p w14:paraId="61D9BE95" w14:textId="77777777" w:rsidR="001F2D99" w:rsidRPr="00F57060" w:rsidRDefault="001F2D99" w:rsidP="00F57060">
            <w:pPr>
              <w:pStyle w:val="Title"/>
              <w:tabs>
                <w:tab w:val="left" w:pos="1834"/>
              </w:tabs>
              <w:jc w:val="right"/>
              <w:rPr>
                <w:rFonts w:ascii="Calibri" w:hAnsi="Calibri"/>
              </w:rPr>
            </w:pPr>
            <w:r w:rsidRPr="00F57060">
              <w:rPr>
                <w:rFonts w:ascii="Calibri" w:hAnsi="Calibri"/>
              </w:rPr>
              <w:t>100.00%</w:t>
            </w:r>
          </w:p>
        </w:tc>
      </w:tr>
    </w:tbl>
    <w:p w14:paraId="0AD7553F" w14:textId="77777777" w:rsidR="001F2D99" w:rsidRPr="006623F6" w:rsidRDefault="001F2D99" w:rsidP="001F2D99">
      <w:pPr>
        <w:tabs>
          <w:tab w:val="left" w:pos="567"/>
          <w:tab w:val="left" w:pos="2880"/>
        </w:tabs>
        <w:ind w:right="114"/>
        <w:jc w:val="both"/>
        <w:rPr>
          <w:b/>
          <w:i/>
        </w:rPr>
      </w:pPr>
    </w:p>
    <w:p w14:paraId="01EE0C43" w14:textId="4AC8FDE4" w:rsidR="00FF5505" w:rsidRDefault="001F2D99" w:rsidP="009E2185">
      <w:pPr>
        <w:tabs>
          <w:tab w:val="left" w:pos="567"/>
          <w:tab w:val="left" w:pos="2880"/>
        </w:tabs>
        <w:ind w:left="2880" w:right="114" w:hanging="2700"/>
        <w:jc w:val="both"/>
        <w:rPr>
          <w:lang w:val="en-US"/>
        </w:rPr>
      </w:pPr>
      <w:r w:rsidRPr="002228B1">
        <w:rPr>
          <w:b/>
          <w:i/>
          <w:color w:val="E36C0A"/>
        </w:rPr>
        <w:t>Органи на управление:</w:t>
      </w:r>
      <w:r w:rsidRPr="006623F6">
        <w:rPr>
          <w:b/>
        </w:rPr>
        <w:tab/>
      </w:r>
      <w:r w:rsidR="009E2185" w:rsidRPr="009E2185">
        <w:t>За периода от 01.01.</w:t>
      </w:r>
      <w:r w:rsidR="00487716">
        <w:t>2021</w:t>
      </w:r>
      <w:r w:rsidR="009E2185" w:rsidRPr="009E2185">
        <w:t xml:space="preserve"> до 31.12.</w:t>
      </w:r>
      <w:r w:rsidR="00487716">
        <w:t>2021</w:t>
      </w:r>
      <w:r w:rsidR="009E2185" w:rsidRPr="009E2185">
        <w:t>г. д</w:t>
      </w:r>
      <w:r w:rsidR="0086497B" w:rsidRPr="009E2185">
        <w:rPr>
          <w:rFonts w:cs="Arial"/>
        </w:rPr>
        <w:t xml:space="preserve">ружеството </w:t>
      </w:r>
      <w:r w:rsidR="0086497B" w:rsidRPr="009E2185">
        <w:t>се управлява и представлява от:</w:t>
      </w:r>
      <w:r w:rsidR="009E2185">
        <w:t xml:space="preserve">  Д-р </w:t>
      </w:r>
      <w:r w:rsidR="00E44C71">
        <w:t>Румен Илиев Димов</w:t>
      </w:r>
      <w:r w:rsidR="00FF5505">
        <w:t>;</w:t>
      </w:r>
    </w:p>
    <w:p w14:paraId="24590690" w14:textId="77777777" w:rsidR="002F72BD" w:rsidRDefault="002F72BD" w:rsidP="002F72BD">
      <w:pPr>
        <w:autoSpaceDE w:val="0"/>
        <w:autoSpaceDN w:val="0"/>
        <w:adjustRightInd w:val="0"/>
        <w:jc w:val="both"/>
        <w:rPr>
          <w:sz w:val="24"/>
          <w:szCs w:val="24"/>
        </w:rPr>
      </w:pPr>
      <w:r>
        <w:t xml:space="preserve">                              </w:t>
      </w:r>
      <w:r>
        <w:rPr>
          <w:lang w:val="en-US"/>
        </w:rPr>
        <w:tab/>
      </w:r>
      <w:r>
        <w:rPr>
          <w:lang w:val="en-US"/>
        </w:rPr>
        <w:tab/>
      </w:r>
      <w:r w:rsidRPr="00B92C99">
        <w:rPr>
          <w:sz w:val="24"/>
          <w:szCs w:val="24"/>
        </w:rPr>
        <w:t xml:space="preserve">Едноличният собственик на капитала – Община Варна, чрез </w:t>
      </w:r>
      <w:r w:rsidRPr="00B92C99">
        <w:rPr>
          <w:snapToGrid w:val="0"/>
        </w:rPr>
        <w:t xml:space="preserve">Общински съвет – Варна, който упражнява правата на </w:t>
      </w:r>
      <w:r w:rsidRPr="00B92C99">
        <w:rPr>
          <w:sz w:val="24"/>
          <w:szCs w:val="24"/>
        </w:rPr>
        <w:t>Общината, като решава въпросите по компетентността на Общото събрание</w:t>
      </w:r>
      <w:r>
        <w:rPr>
          <w:sz w:val="24"/>
          <w:szCs w:val="24"/>
        </w:rPr>
        <w:t xml:space="preserve"> </w:t>
      </w:r>
    </w:p>
    <w:p w14:paraId="065D79D7" w14:textId="77777777" w:rsidR="002F72BD" w:rsidRDefault="002F72BD" w:rsidP="0086497B">
      <w:pPr>
        <w:tabs>
          <w:tab w:val="left" w:pos="567"/>
          <w:tab w:val="left" w:pos="2880"/>
        </w:tabs>
        <w:ind w:right="114"/>
        <w:jc w:val="both"/>
        <w:rPr>
          <w:lang w:val="en-US"/>
        </w:rPr>
      </w:pPr>
    </w:p>
    <w:p w14:paraId="4B17E813" w14:textId="77777777" w:rsidR="002F72BD" w:rsidRPr="002F72BD" w:rsidRDefault="002F72BD" w:rsidP="0086497B">
      <w:pPr>
        <w:tabs>
          <w:tab w:val="left" w:pos="567"/>
          <w:tab w:val="left" w:pos="2880"/>
        </w:tabs>
        <w:ind w:right="114"/>
        <w:jc w:val="both"/>
        <w:rPr>
          <w:lang w:val="en-US"/>
        </w:rPr>
      </w:pPr>
    </w:p>
    <w:p w14:paraId="6F2EF8DE" w14:textId="77777777" w:rsidR="001F2D99" w:rsidRPr="002228B1" w:rsidRDefault="001F2D99" w:rsidP="001F2D99">
      <w:pPr>
        <w:pStyle w:val="Heading2"/>
        <w:rPr>
          <w:rFonts w:ascii="Calibri" w:eastAsia="Calibri" w:hAnsi="Calibri" w:cs="Times New Roman"/>
          <w:bCs w:val="0"/>
          <w:iCs w:val="0"/>
          <w:color w:val="E36C0A"/>
        </w:rPr>
      </w:pPr>
      <w:r w:rsidRPr="002228B1">
        <w:rPr>
          <w:rFonts w:ascii="Calibri" w:eastAsia="Calibri" w:hAnsi="Calibri" w:cs="Times New Roman"/>
          <w:bCs w:val="0"/>
          <w:iCs w:val="0"/>
          <w:color w:val="E36C0A"/>
        </w:rPr>
        <w:t xml:space="preserve">Лицензии, разрешителни </w:t>
      </w:r>
    </w:p>
    <w:p w14:paraId="780E3FED" w14:textId="77777777" w:rsidR="001F2D99" w:rsidRPr="002228B1" w:rsidRDefault="001F2D99" w:rsidP="001F2D99">
      <w:pPr>
        <w:ind w:left="180"/>
        <w:rPr>
          <w:b/>
          <w:i/>
          <w:color w:val="E36C0A"/>
        </w:rPr>
      </w:pPr>
      <w:r w:rsidRPr="002228B1">
        <w:rPr>
          <w:b/>
          <w:i/>
          <w:color w:val="E36C0A"/>
        </w:rPr>
        <w:t>за осъществяване на</w:t>
      </w:r>
    </w:p>
    <w:p w14:paraId="55B75ADC" w14:textId="77777777" w:rsidR="00923795" w:rsidRDefault="001F2D99" w:rsidP="001F2D99">
      <w:pPr>
        <w:ind w:left="180"/>
        <w:rPr>
          <w:lang w:val="en-US"/>
        </w:rPr>
      </w:pPr>
      <w:r w:rsidRPr="002228B1">
        <w:rPr>
          <w:b/>
          <w:i/>
          <w:color w:val="E36C0A"/>
        </w:rPr>
        <w:t>дейността:</w:t>
      </w:r>
      <w:r w:rsidRPr="002228B1">
        <w:rPr>
          <w:b/>
          <w:i/>
          <w:color w:val="E36C0A"/>
        </w:rPr>
        <w:tab/>
      </w:r>
      <w:r w:rsidRPr="006623F6">
        <w:rPr>
          <w:b/>
          <w:i/>
          <w:color w:val="FF0000"/>
        </w:rPr>
        <w:tab/>
      </w:r>
      <w:r>
        <w:rPr>
          <w:b/>
          <w:i/>
          <w:color w:val="FF0000"/>
        </w:rPr>
        <w:tab/>
      </w:r>
      <w:r w:rsidR="008C6858" w:rsidRPr="00B04BEF">
        <w:rPr>
          <w:b/>
          <w:i/>
          <w:color w:val="000000"/>
        </w:rPr>
        <w:t>Удостоверение №</w:t>
      </w:r>
      <w:r w:rsidR="008C6858">
        <w:rPr>
          <w:b/>
          <w:i/>
          <w:color w:val="FF0000"/>
        </w:rPr>
        <w:t xml:space="preserve">  </w:t>
      </w:r>
      <w:r w:rsidR="008C6858">
        <w:t>0138/</w:t>
      </w:r>
      <w:r w:rsidR="009E2185">
        <w:t>11</w:t>
      </w:r>
      <w:r w:rsidR="008C6858">
        <w:t>.</w:t>
      </w:r>
      <w:r w:rsidR="00FF5505">
        <w:t>12.201</w:t>
      </w:r>
      <w:r w:rsidR="009E2185">
        <w:t>8</w:t>
      </w:r>
      <w:r w:rsidR="008C6858">
        <w:t xml:space="preserve"> издадено от Министерство на </w:t>
      </w:r>
    </w:p>
    <w:p w14:paraId="76259C2F" w14:textId="77777777" w:rsidR="001F2D99" w:rsidRDefault="00923795" w:rsidP="001F2D99">
      <w:pPr>
        <w:ind w:left="180"/>
      </w:pPr>
      <w:r>
        <w:rPr>
          <w:lang w:val="en-US"/>
        </w:rPr>
        <w:tab/>
      </w:r>
      <w:r>
        <w:rPr>
          <w:lang w:val="en-US"/>
        </w:rPr>
        <w:tab/>
      </w:r>
      <w:r>
        <w:rPr>
          <w:lang w:val="en-US"/>
        </w:rPr>
        <w:tab/>
      </w:r>
      <w:r>
        <w:rPr>
          <w:lang w:val="en-US"/>
        </w:rPr>
        <w:tab/>
      </w:r>
      <w:r w:rsidR="008C6858">
        <w:t>здравеопазването -РЗИ Варна</w:t>
      </w:r>
    </w:p>
    <w:p w14:paraId="1BE5B75B" w14:textId="77777777" w:rsidR="00FF5505" w:rsidRDefault="00FF5505" w:rsidP="001F2D99">
      <w:pPr>
        <w:ind w:left="180"/>
      </w:pPr>
      <w:r>
        <w:tab/>
      </w:r>
      <w:r>
        <w:tab/>
      </w:r>
      <w:r>
        <w:tab/>
      </w:r>
      <w:r>
        <w:tab/>
      </w:r>
      <w:r w:rsidRPr="00FF5505">
        <w:rPr>
          <w:b/>
          <w:i/>
        </w:rPr>
        <w:t xml:space="preserve">Лицензия </w:t>
      </w:r>
      <w:r>
        <w:t>за използване на източници на йонизиращи лъчения за медицински цели, Рег.№ 5265, Серия О, издадена от АЯР</w:t>
      </w:r>
    </w:p>
    <w:p w14:paraId="56B7D056" w14:textId="77777777" w:rsidR="00FF5505" w:rsidRDefault="00FF5505" w:rsidP="001F2D99">
      <w:pPr>
        <w:ind w:left="180"/>
      </w:pPr>
    </w:p>
    <w:p w14:paraId="64C04882" w14:textId="77777777" w:rsidR="00FF5505" w:rsidRPr="006623F6" w:rsidRDefault="00FF5505" w:rsidP="001F2D99">
      <w:pPr>
        <w:ind w:left="180"/>
        <w:rPr>
          <w:b/>
          <w:i/>
        </w:rPr>
      </w:pPr>
    </w:p>
    <w:p w14:paraId="3FAA9831" w14:textId="77777777" w:rsidR="001F2D99" w:rsidRPr="006623F6" w:rsidRDefault="001F2D99" w:rsidP="001F2D99">
      <w:pPr>
        <w:tabs>
          <w:tab w:val="left" w:pos="0"/>
        </w:tabs>
        <w:ind w:right="114"/>
        <w:jc w:val="both"/>
      </w:pPr>
    </w:p>
    <w:p w14:paraId="0E9D5809" w14:textId="77777777" w:rsidR="002F72BD" w:rsidRPr="00B92C99" w:rsidRDefault="001F2D99" w:rsidP="002F72BD">
      <w:pPr>
        <w:tabs>
          <w:tab w:val="left" w:pos="0"/>
        </w:tabs>
        <w:ind w:right="114"/>
        <w:jc w:val="both"/>
        <w:rPr>
          <w:color w:val="000000"/>
        </w:rPr>
      </w:pPr>
      <w:r w:rsidRPr="002228B1">
        <w:rPr>
          <w:b/>
          <w:i/>
          <w:color w:val="E36C0A"/>
        </w:rPr>
        <w:t>Свързани лица:</w:t>
      </w:r>
      <w:r w:rsidRPr="0070516A">
        <w:rPr>
          <w:b/>
          <w:i/>
          <w:color w:val="943634"/>
        </w:rPr>
        <w:tab/>
      </w:r>
      <w:r w:rsidRPr="006623F6">
        <w:rPr>
          <w:b/>
          <w:i/>
          <w:color w:val="FF0000"/>
        </w:rPr>
        <w:tab/>
      </w:r>
      <w:r w:rsidR="002F72BD" w:rsidRPr="00B92C99">
        <w:rPr>
          <w:color w:val="000000"/>
        </w:rPr>
        <w:t>Община Варна като едноличен собственик на капитала.</w:t>
      </w:r>
    </w:p>
    <w:p w14:paraId="454708A4" w14:textId="77777777" w:rsidR="002F72BD" w:rsidRPr="00B92C99" w:rsidRDefault="002F72BD" w:rsidP="002F72BD">
      <w:pPr>
        <w:widowControl w:val="0"/>
        <w:tabs>
          <w:tab w:val="left" w:pos="720"/>
        </w:tabs>
        <w:jc w:val="both"/>
        <w:rPr>
          <w:rFonts w:cs="Arial"/>
          <w:snapToGrid w:val="0"/>
          <w:color w:val="000000"/>
          <w:lang w:val="be-BY"/>
        </w:rPr>
      </w:pPr>
      <w:r w:rsidRPr="00B92C99">
        <w:rPr>
          <w:color w:val="000000"/>
        </w:rPr>
        <w:t xml:space="preserve">                                                    </w:t>
      </w:r>
      <w:r w:rsidRPr="00B92C99">
        <w:rPr>
          <w:color w:val="000000"/>
          <w:lang w:val="en-US"/>
        </w:rPr>
        <w:tab/>
      </w:r>
      <w:r w:rsidRPr="00B92C99">
        <w:rPr>
          <w:rFonts w:cs="Arial"/>
          <w:snapToGrid w:val="0"/>
          <w:color w:val="000000"/>
          <w:lang w:val="be-BY"/>
        </w:rPr>
        <w:t xml:space="preserve">Свързаност е налице и по отношение на изпълнителните                                                  </w:t>
      </w:r>
    </w:p>
    <w:p w14:paraId="51235E55" w14:textId="77777777" w:rsidR="002F72BD" w:rsidRPr="00316233" w:rsidRDefault="002F72BD" w:rsidP="002F72BD">
      <w:pPr>
        <w:tabs>
          <w:tab w:val="left" w:pos="0"/>
        </w:tabs>
        <w:ind w:right="114"/>
        <w:jc w:val="both"/>
        <w:rPr>
          <w:rFonts w:cs="Arial"/>
          <w:b/>
          <w:i/>
          <w:color w:val="E36C0A"/>
          <w:sz w:val="28"/>
          <w:szCs w:val="28"/>
          <w14:shadow w14:blurRad="50800" w14:dist="38100" w14:dir="2700000" w14:sx="100000" w14:sy="100000" w14:kx="0" w14:ky="0" w14:algn="tl">
            <w14:srgbClr w14:val="000000">
              <w14:alpha w14:val="60000"/>
            </w14:srgbClr>
          </w14:shadow>
        </w:rPr>
      </w:pPr>
      <w:r w:rsidRPr="00B92C99">
        <w:rPr>
          <w:rFonts w:cs="Arial"/>
          <w:color w:val="000000"/>
        </w:rPr>
        <w:tab/>
      </w:r>
      <w:r w:rsidRPr="00B92C99">
        <w:rPr>
          <w:rFonts w:cs="Arial"/>
          <w:color w:val="000000"/>
        </w:rPr>
        <w:tab/>
      </w:r>
      <w:r w:rsidRPr="00B92C99">
        <w:rPr>
          <w:rFonts w:cs="Arial"/>
          <w:color w:val="000000"/>
        </w:rPr>
        <w:tab/>
        <w:t xml:space="preserve">        </w:t>
      </w:r>
      <w:r w:rsidRPr="00B92C99">
        <w:rPr>
          <w:rFonts w:cs="Arial"/>
          <w:color w:val="000000"/>
          <w:lang w:val="en-US"/>
        </w:rPr>
        <w:tab/>
      </w:r>
      <w:r w:rsidRPr="00B92C99">
        <w:rPr>
          <w:rFonts w:cs="Arial"/>
          <w:color w:val="000000"/>
        </w:rPr>
        <w:t>служители, представляващи дружеството.</w:t>
      </w:r>
    </w:p>
    <w:p w14:paraId="54E6CC27" w14:textId="77777777" w:rsidR="00861EDA" w:rsidRPr="00316233" w:rsidRDefault="00861EDA" w:rsidP="002F72BD">
      <w:pPr>
        <w:tabs>
          <w:tab w:val="left" w:pos="0"/>
        </w:tabs>
        <w:ind w:right="114" w:firstLine="180"/>
        <w:jc w:val="both"/>
        <w:rPr>
          <w:b/>
          <w:i/>
          <w:color w:val="E36C0A"/>
          <w:sz w:val="28"/>
          <w:szCs w:val="28"/>
          <w14:shadow w14:blurRad="50800" w14:dist="38100" w14:dir="2700000" w14:sx="100000" w14:sy="100000" w14:kx="0" w14:ky="0" w14:algn="tl">
            <w14:srgbClr w14:val="000000">
              <w14:alpha w14:val="60000"/>
            </w14:srgbClr>
          </w14:shadow>
        </w:rPr>
      </w:pPr>
    </w:p>
    <w:p w14:paraId="3532D5E0" w14:textId="77777777" w:rsidR="00861EDA" w:rsidRPr="00316233" w:rsidRDefault="00861EDA" w:rsidP="001F2D99">
      <w:pPr>
        <w:jc w:val="center"/>
        <w:rPr>
          <w:b/>
          <w:i/>
          <w:color w:val="E36C0A"/>
          <w:sz w:val="28"/>
          <w:szCs w:val="28"/>
          <w14:shadow w14:blurRad="50800" w14:dist="38100" w14:dir="2700000" w14:sx="100000" w14:sy="100000" w14:kx="0" w14:ky="0" w14:algn="tl">
            <w14:srgbClr w14:val="000000">
              <w14:alpha w14:val="60000"/>
            </w14:srgbClr>
          </w14:shadow>
        </w:rPr>
      </w:pPr>
    </w:p>
    <w:p w14:paraId="7A43C6D1" w14:textId="77777777" w:rsidR="0086497B" w:rsidRPr="00316233" w:rsidRDefault="0086497B" w:rsidP="001F2D99">
      <w:pPr>
        <w:jc w:val="center"/>
        <w:rPr>
          <w:b/>
          <w:i/>
          <w:color w:val="E36C0A"/>
          <w:sz w:val="28"/>
          <w:szCs w:val="28"/>
          <w14:shadow w14:blurRad="50800" w14:dist="38100" w14:dir="2700000" w14:sx="100000" w14:sy="100000" w14:kx="0" w14:ky="0" w14:algn="tl">
            <w14:srgbClr w14:val="000000">
              <w14:alpha w14:val="60000"/>
            </w14:srgbClr>
          </w14:shadow>
        </w:rPr>
      </w:pPr>
    </w:p>
    <w:p w14:paraId="152F34F7" w14:textId="77777777" w:rsidR="0086497B" w:rsidRPr="00316233" w:rsidRDefault="0086497B" w:rsidP="001F2D99">
      <w:pPr>
        <w:jc w:val="center"/>
        <w:rPr>
          <w:b/>
          <w:i/>
          <w:color w:val="E36C0A"/>
          <w:sz w:val="28"/>
          <w:szCs w:val="28"/>
          <w14:shadow w14:blurRad="50800" w14:dist="38100" w14:dir="2700000" w14:sx="100000" w14:sy="100000" w14:kx="0" w14:ky="0" w14:algn="tl">
            <w14:srgbClr w14:val="000000">
              <w14:alpha w14:val="60000"/>
            </w14:srgbClr>
          </w14:shadow>
        </w:rPr>
      </w:pPr>
    </w:p>
    <w:p w14:paraId="4F0FB714" w14:textId="77777777" w:rsidR="005F1A2E" w:rsidRPr="00316233" w:rsidRDefault="005F1A2E" w:rsidP="001F2D99">
      <w:pPr>
        <w:jc w:val="center"/>
        <w:rPr>
          <w:b/>
          <w:i/>
          <w:color w:val="E36C0A"/>
          <w:sz w:val="28"/>
          <w:szCs w:val="28"/>
          <w14:shadow w14:blurRad="50800" w14:dist="38100" w14:dir="2700000" w14:sx="100000" w14:sy="100000" w14:kx="0" w14:ky="0" w14:algn="tl">
            <w14:srgbClr w14:val="000000">
              <w14:alpha w14:val="60000"/>
            </w14:srgbClr>
          </w14:shadow>
        </w:rPr>
      </w:pPr>
    </w:p>
    <w:p w14:paraId="28EF61D1" w14:textId="77777777" w:rsidR="005F1A2E" w:rsidRPr="00316233" w:rsidRDefault="005F1A2E" w:rsidP="001F2D99">
      <w:pPr>
        <w:jc w:val="center"/>
        <w:rPr>
          <w:b/>
          <w:i/>
          <w:color w:val="E36C0A"/>
          <w:sz w:val="28"/>
          <w:szCs w:val="28"/>
          <w14:shadow w14:blurRad="50800" w14:dist="38100" w14:dir="2700000" w14:sx="100000" w14:sy="100000" w14:kx="0" w14:ky="0" w14:algn="tl">
            <w14:srgbClr w14:val="000000">
              <w14:alpha w14:val="60000"/>
            </w14:srgbClr>
          </w14:shadow>
        </w:rPr>
      </w:pPr>
    </w:p>
    <w:p w14:paraId="028869D1" w14:textId="77777777" w:rsidR="005F1A2E" w:rsidRPr="00316233" w:rsidRDefault="005F1A2E" w:rsidP="001F2D99">
      <w:pPr>
        <w:jc w:val="center"/>
        <w:rPr>
          <w:b/>
          <w:i/>
          <w:color w:val="E36C0A"/>
          <w:sz w:val="28"/>
          <w:szCs w:val="28"/>
          <w14:shadow w14:blurRad="50800" w14:dist="38100" w14:dir="2700000" w14:sx="100000" w14:sy="100000" w14:kx="0" w14:ky="0" w14:algn="tl">
            <w14:srgbClr w14:val="000000">
              <w14:alpha w14:val="60000"/>
            </w14:srgbClr>
          </w14:shadow>
        </w:rPr>
      </w:pPr>
    </w:p>
    <w:p w14:paraId="46503710" w14:textId="77777777" w:rsidR="005F1A2E" w:rsidRPr="00316233" w:rsidRDefault="005F1A2E" w:rsidP="001F2D99">
      <w:pPr>
        <w:jc w:val="center"/>
        <w:rPr>
          <w:b/>
          <w:i/>
          <w:color w:val="E36C0A"/>
          <w:sz w:val="28"/>
          <w:szCs w:val="28"/>
          <w14:shadow w14:blurRad="50800" w14:dist="38100" w14:dir="2700000" w14:sx="100000" w14:sy="100000" w14:kx="0" w14:ky="0" w14:algn="tl">
            <w14:srgbClr w14:val="000000">
              <w14:alpha w14:val="60000"/>
            </w14:srgbClr>
          </w14:shadow>
        </w:rPr>
      </w:pPr>
    </w:p>
    <w:p w14:paraId="0E5D4D3D" w14:textId="77777777" w:rsidR="009E2185" w:rsidRPr="00316233" w:rsidRDefault="009E2185" w:rsidP="001F2D99">
      <w:pPr>
        <w:jc w:val="center"/>
        <w:rPr>
          <w:b/>
          <w:i/>
          <w:color w:val="E36C0A"/>
          <w:sz w:val="28"/>
          <w:szCs w:val="28"/>
          <w14:shadow w14:blurRad="50800" w14:dist="38100" w14:dir="2700000" w14:sx="100000" w14:sy="100000" w14:kx="0" w14:ky="0" w14:algn="tl">
            <w14:srgbClr w14:val="000000">
              <w14:alpha w14:val="60000"/>
            </w14:srgbClr>
          </w14:shadow>
        </w:rPr>
      </w:pPr>
    </w:p>
    <w:p w14:paraId="2C68E146" w14:textId="77777777" w:rsidR="009E2185" w:rsidRPr="00316233" w:rsidRDefault="009E2185" w:rsidP="001F2D99">
      <w:pPr>
        <w:jc w:val="center"/>
        <w:rPr>
          <w:b/>
          <w:i/>
          <w:color w:val="E36C0A"/>
          <w:sz w:val="28"/>
          <w:szCs w:val="28"/>
          <w14:shadow w14:blurRad="50800" w14:dist="38100" w14:dir="2700000" w14:sx="100000" w14:sy="100000" w14:kx="0" w14:ky="0" w14:algn="tl">
            <w14:srgbClr w14:val="000000">
              <w14:alpha w14:val="60000"/>
            </w14:srgbClr>
          </w14:shadow>
        </w:rPr>
      </w:pPr>
    </w:p>
    <w:p w14:paraId="4E96F22D" w14:textId="77777777" w:rsidR="009E2185" w:rsidRPr="00316233" w:rsidRDefault="009E2185" w:rsidP="001F2D99">
      <w:pPr>
        <w:jc w:val="center"/>
        <w:rPr>
          <w:b/>
          <w:i/>
          <w:color w:val="E36C0A"/>
          <w:sz w:val="28"/>
          <w:szCs w:val="28"/>
          <w14:shadow w14:blurRad="50800" w14:dist="38100" w14:dir="2700000" w14:sx="100000" w14:sy="100000" w14:kx="0" w14:ky="0" w14:algn="tl">
            <w14:srgbClr w14:val="000000">
              <w14:alpha w14:val="60000"/>
            </w14:srgbClr>
          </w14:shadow>
        </w:rPr>
      </w:pPr>
    </w:p>
    <w:p w14:paraId="7B32FCB0" w14:textId="77777777" w:rsidR="001F2D99" w:rsidRPr="00316233" w:rsidRDefault="004A0CAD" w:rsidP="002228B1">
      <w:pPr>
        <w:pStyle w:val="NoSpacing"/>
        <w:shd w:val="clear" w:color="auto" w:fill="E36C0A"/>
        <w:autoSpaceDE w:val="0"/>
        <w:autoSpaceDN w:val="0"/>
        <w:adjustRightInd w:val="0"/>
        <w:jc w:val="both"/>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pPr>
      <w:r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I</w:t>
      </w:r>
      <w:r w:rsidR="0074615C"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I</w:t>
      </w:r>
      <w:r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001F2D99"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ХАРАКТЕРИСТИКА НА ДЕЙНОСТТА</w:t>
      </w:r>
      <w:r w:rsidR="0074615C"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00C222B8"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съгл. </w:t>
      </w:r>
      <w:r w:rsidR="0074615C"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чл.39, т.1 от ЗС)</w:t>
      </w:r>
    </w:p>
    <w:p w14:paraId="6E14D522" w14:textId="77777777" w:rsidR="001F2D99" w:rsidRPr="006623F6" w:rsidRDefault="001F2D99" w:rsidP="001F2D99">
      <w:pPr>
        <w:tabs>
          <w:tab w:val="left" w:pos="567"/>
          <w:tab w:val="left" w:pos="3969"/>
        </w:tabs>
        <w:ind w:left="113" w:right="114"/>
        <w:jc w:val="both"/>
        <w:rPr>
          <w:b/>
          <w:i/>
          <w:color w:val="FF0000"/>
        </w:rPr>
      </w:pPr>
    </w:p>
    <w:p w14:paraId="30417A74" w14:textId="77777777" w:rsidR="001F2D99" w:rsidRPr="006623F6" w:rsidRDefault="001F2D99" w:rsidP="001F2D99">
      <w:pPr>
        <w:tabs>
          <w:tab w:val="left" w:pos="567"/>
          <w:tab w:val="left" w:pos="3969"/>
        </w:tabs>
        <w:ind w:left="113" w:right="114"/>
        <w:jc w:val="both"/>
      </w:pPr>
      <w:r w:rsidRPr="006623F6">
        <w:t>Осъществяваната от  “</w:t>
      </w:r>
      <w:r w:rsidR="00E90E19">
        <w:t xml:space="preserve">ДКЦ Чайка </w:t>
      </w:r>
      <w:r w:rsidRPr="006623F6">
        <w:t>”</w:t>
      </w:r>
      <w:r w:rsidR="00E90E19">
        <w:t>Е</w:t>
      </w:r>
      <w:r w:rsidR="0086497B">
        <w:t>ОО</w:t>
      </w:r>
      <w:r w:rsidRPr="006623F6">
        <w:t>Д</w:t>
      </w:r>
      <w:r w:rsidR="0086497B">
        <w:t xml:space="preserve"> </w:t>
      </w:r>
      <w:r w:rsidRPr="006623F6">
        <w:t>основна дейност е:</w:t>
      </w:r>
    </w:p>
    <w:p w14:paraId="5B038CC8" w14:textId="77777777" w:rsidR="001F2D99" w:rsidRPr="006623F6" w:rsidRDefault="008925A7" w:rsidP="002228B1">
      <w:pPr>
        <w:numPr>
          <w:ilvl w:val="0"/>
          <w:numId w:val="18"/>
        </w:numPr>
        <w:tabs>
          <w:tab w:val="left" w:pos="567"/>
          <w:tab w:val="left" w:pos="3969"/>
        </w:tabs>
        <w:ind w:right="114"/>
        <w:jc w:val="both"/>
      </w:pPr>
      <w:r>
        <w:t>Осъществяване на извънболнична медицинска дейност</w:t>
      </w:r>
      <w:r w:rsidR="001F2D99">
        <w:t>;</w:t>
      </w:r>
    </w:p>
    <w:p w14:paraId="323CA9ED" w14:textId="77777777" w:rsidR="001F2D99" w:rsidRDefault="001F2D99" w:rsidP="001F2D99">
      <w:pPr>
        <w:tabs>
          <w:tab w:val="left" w:pos="567"/>
          <w:tab w:val="left" w:pos="3969"/>
        </w:tabs>
        <w:ind w:right="114"/>
        <w:jc w:val="both"/>
      </w:pPr>
    </w:p>
    <w:p w14:paraId="79471641" w14:textId="1839F8C8" w:rsidR="0047438C" w:rsidRDefault="001F2D99" w:rsidP="001F2D99">
      <w:pPr>
        <w:tabs>
          <w:tab w:val="left" w:pos="0"/>
        </w:tabs>
        <w:ind w:right="114"/>
        <w:jc w:val="both"/>
      </w:pPr>
      <w:r w:rsidRPr="006623F6">
        <w:t xml:space="preserve">Реализираните приходи от дейността </w:t>
      </w:r>
      <w:r w:rsidR="00F41AB0" w:rsidRPr="006623F6">
        <w:t xml:space="preserve">по видове  </w:t>
      </w:r>
      <w:r w:rsidRPr="006623F6">
        <w:t xml:space="preserve">за </w:t>
      </w:r>
      <w:r w:rsidR="00487716">
        <w:t>2021</w:t>
      </w:r>
      <w:r>
        <w:t xml:space="preserve"> </w:t>
      </w:r>
      <w:r w:rsidRPr="006623F6">
        <w:t xml:space="preserve">г. </w:t>
      </w:r>
      <w:r w:rsidR="00643697">
        <w:t xml:space="preserve">и тяхното изменение </w:t>
      </w:r>
      <w:r w:rsidRPr="006623F6">
        <w:t xml:space="preserve">спрямо </w:t>
      </w:r>
      <w:r w:rsidR="00487716">
        <w:t>2020</w:t>
      </w:r>
      <w:r w:rsidRPr="006623F6">
        <w:t xml:space="preserve"> г. са както следва:</w:t>
      </w:r>
    </w:p>
    <w:tbl>
      <w:tblPr>
        <w:tblW w:w="8222" w:type="dxa"/>
        <w:tblLook w:val="04A0" w:firstRow="1" w:lastRow="0" w:firstColumn="1" w:lastColumn="0" w:noHBand="0" w:noVBand="1"/>
      </w:tblPr>
      <w:tblGrid>
        <w:gridCol w:w="4111"/>
        <w:gridCol w:w="1418"/>
        <w:gridCol w:w="1275"/>
        <w:gridCol w:w="1418"/>
      </w:tblGrid>
      <w:tr w:rsidR="00F924EA" w:rsidRPr="00F924EA" w14:paraId="31884664" w14:textId="77777777" w:rsidTr="00F924EA">
        <w:trPr>
          <w:trHeight w:val="300"/>
        </w:trPr>
        <w:tc>
          <w:tcPr>
            <w:tcW w:w="4111" w:type="dxa"/>
            <w:tcBorders>
              <w:top w:val="nil"/>
              <w:left w:val="nil"/>
              <w:bottom w:val="nil"/>
              <w:right w:val="nil"/>
            </w:tcBorders>
            <w:shd w:val="clear" w:color="auto" w:fill="auto"/>
            <w:noWrap/>
            <w:vAlign w:val="bottom"/>
            <w:hideMark/>
          </w:tcPr>
          <w:p w14:paraId="6A9E0355" w14:textId="77777777" w:rsidR="00F924EA" w:rsidRPr="00F924EA" w:rsidRDefault="00F924EA" w:rsidP="00F924EA">
            <w:pPr>
              <w:rPr>
                <w:rFonts w:ascii="Times New Roman" w:eastAsia="Times New Roman" w:hAnsi="Times New Roman"/>
                <w:sz w:val="20"/>
                <w:szCs w:val="20"/>
                <w:lang w:val="en-US"/>
              </w:rPr>
            </w:pPr>
          </w:p>
        </w:tc>
        <w:tc>
          <w:tcPr>
            <w:tcW w:w="1418" w:type="dxa"/>
            <w:tcBorders>
              <w:top w:val="nil"/>
              <w:left w:val="nil"/>
              <w:bottom w:val="nil"/>
              <w:right w:val="nil"/>
            </w:tcBorders>
            <w:shd w:val="clear" w:color="auto" w:fill="auto"/>
            <w:noWrap/>
            <w:vAlign w:val="bottom"/>
            <w:hideMark/>
          </w:tcPr>
          <w:p w14:paraId="4AF2D37B" w14:textId="77777777" w:rsidR="00F924EA" w:rsidRPr="00F924EA" w:rsidRDefault="00F924EA" w:rsidP="00F924EA">
            <w:pPr>
              <w:rPr>
                <w:rFonts w:ascii="Times New Roman" w:eastAsia="Times New Roman" w:hAnsi="Times New Roman"/>
                <w:sz w:val="20"/>
                <w:szCs w:val="20"/>
                <w:lang w:val="en-US"/>
              </w:rPr>
            </w:pPr>
          </w:p>
        </w:tc>
        <w:tc>
          <w:tcPr>
            <w:tcW w:w="1275" w:type="dxa"/>
            <w:tcBorders>
              <w:top w:val="nil"/>
              <w:left w:val="nil"/>
              <w:bottom w:val="nil"/>
              <w:right w:val="nil"/>
            </w:tcBorders>
            <w:shd w:val="clear" w:color="auto" w:fill="auto"/>
            <w:noWrap/>
            <w:vAlign w:val="bottom"/>
            <w:hideMark/>
          </w:tcPr>
          <w:p w14:paraId="60A7FC55" w14:textId="77777777" w:rsidR="00F924EA" w:rsidRPr="00F924EA" w:rsidRDefault="00F924EA" w:rsidP="00F924EA">
            <w:pPr>
              <w:rPr>
                <w:rFonts w:ascii="Times New Roman" w:eastAsia="Times New Roman" w:hAnsi="Times New Roman"/>
                <w:sz w:val="20"/>
                <w:szCs w:val="20"/>
                <w:lang w:val="en-US"/>
              </w:rPr>
            </w:pPr>
          </w:p>
        </w:tc>
        <w:tc>
          <w:tcPr>
            <w:tcW w:w="1418" w:type="dxa"/>
            <w:tcBorders>
              <w:top w:val="nil"/>
              <w:left w:val="nil"/>
              <w:bottom w:val="nil"/>
              <w:right w:val="nil"/>
            </w:tcBorders>
            <w:shd w:val="clear" w:color="auto" w:fill="auto"/>
            <w:noWrap/>
            <w:vAlign w:val="bottom"/>
            <w:hideMark/>
          </w:tcPr>
          <w:p w14:paraId="2788433D" w14:textId="77777777" w:rsidR="00F924EA" w:rsidRPr="00F924EA" w:rsidRDefault="00F924EA" w:rsidP="00F924EA">
            <w:pPr>
              <w:jc w:val="right"/>
              <w:rPr>
                <w:rFonts w:eastAsia="Times New Roman" w:cs="Calibri"/>
                <w:i/>
                <w:iCs/>
                <w:sz w:val="20"/>
                <w:szCs w:val="20"/>
                <w:lang w:val="en-US"/>
              </w:rPr>
            </w:pPr>
            <w:r w:rsidRPr="00F924EA">
              <w:rPr>
                <w:rFonts w:eastAsia="Times New Roman" w:cs="Calibri"/>
                <w:i/>
                <w:iCs/>
                <w:sz w:val="20"/>
                <w:szCs w:val="20"/>
                <w:lang w:val="en-US"/>
              </w:rPr>
              <w:t>(хил.лв.)</w:t>
            </w:r>
          </w:p>
        </w:tc>
      </w:tr>
      <w:tr w:rsidR="00F924EA" w:rsidRPr="00F924EA" w14:paraId="4BFDA132" w14:textId="77777777" w:rsidTr="00F924EA">
        <w:trPr>
          <w:trHeight w:val="288"/>
        </w:trPr>
        <w:tc>
          <w:tcPr>
            <w:tcW w:w="8222" w:type="dxa"/>
            <w:gridSpan w:val="4"/>
            <w:tcBorders>
              <w:top w:val="single" w:sz="8" w:space="0" w:color="E26B0A"/>
              <w:left w:val="single" w:sz="8" w:space="0" w:color="E26B0A"/>
              <w:bottom w:val="single" w:sz="8" w:space="0" w:color="E26B0A"/>
              <w:right w:val="single" w:sz="8" w:space="0" w:color="E26B0A"/>
            </w:tcBorders>
            <w:shd w:val="clear" w:color="000000" w:fill="E26B0A"/>
            <w:hideMark/>
          </w:tcPr>
          <w:p w14:paraId="54012BE4" w14:textId="262F2683" w:rsidR="00F924EA" w:rsidRPr="00F924EA" w:rsidRDefault="00F924EA" w:rsidP="00F924EA">
            <w:pPr>
              <w:jc w:val="center"/>
              <w:rPr>
                <w:rFonts w:eastAsia="Times New Roman" w:cs="Calibri"/>
                <w:b/>
                <w:bCs/>
                <w:color w:val="FFFFFF"/>
                <w:sz w:val="20"/>
                <w:szCs w:val="20"/>
                <w:lang w:val="en-US"/>
              </w:rPr>
            </w:pPr>
            <w:r w:rsidRPr="00F924EA">
              <w:rPr>
                <w:rFonts w:eastAsia="Times New Roman" w:cs="Calibri"/>
                <w:b/>
                <w:bCs/>
                <w:color w:val="FFFFFF"/>
                <w:sz w:val="20"/>
                <w:szCs w:val="20"/>
                <w:lang w:val="en-US"/>
              </w:rPr>
              <w:t>Реализирани приходи</w:t>
            </w:r>
          </w:p>
        </w:tc>
      </w:tr>
      <w:tr w:rsidR="00F924EA" w:rsidRPr="00F924EA" w14:paraId="4F6C4E58" w14:textId="77777777" w:rsidTr="00F924EA">
        <w:trPr>
          <w:trHeight w:val="564"/>
        </w:trPr>
        <w:tc>
          <w:tcPr>
            <w:tcW w:w="4111" w:type="dxa"/>
            <w:tcBorders>
              <w:top w:val="nil"/>
              <w:left w:val="single" w:sz="8" w:space="0" w:color="E26B0A"/>
              <w:bottom w:val="nil"/>
              <w:right w:val="single" w:sz="8" w:space="0" w:color="E26B0A"/>
            </w:tcBorders>
            <w:shd w:val="clear" w:color="000000" w:fill="FABF8F"/>
            <w:vAlign w:val="center"/>
            <w:hideMark/>
          </w:tcPr>
          <w:p w14:paraId="5C1DCD0F" w14:textId="77777777" w:rsidR="00F924EA" w:rsidRPr="00F924EA" w:rsidRDefault="00F924EA" w:rsidP="00F924EA">
            <w:pPr>
              <w:jc w:val="center"/>
              <w:rPr>
                <w:rFonts w:eastAsia="Times New Roman" w:cs="Calibri"/>
                <w:b/>
                <w:bCs/>
                <w:sz w:val="20"/>
                <w:szCs w:val="20"/>
                <w:lang w:val="en-US"/>
              </w:rPr>
            </w:pPr>
            <w:r w:rsidRPr="00F924EA">
              <w:rPr>
                <w:rFonts w:eastAsia="Times New Roman" w:cs="Calibri"/>
                <w:b/>
                <w:bCs/>
                <w:sz w:val="20"/>
                <w:szCs w:val="20"/>
                <w:lang w:val="en-US"/>
              </w:rPr>
              <w:t>по видове услуги</w:t>
            </w:r>
          </w:p>
        </w:tc>
        <w:tc>
          <w:tcPr>
            <w:tcW w:w="1418" w:type="dxa"/>
            <w:tcBorders>
              <w:top w:val="nil"/>
              <w:left w:val="nil"/>
              <w:bottom w:val="single" w:sz="8" w:space="0" w:color="E26B0A"/>
              <w:right w:val="single" w:sz="8" w:space="0" w:color="E26B0A"/>
            </w:tcBorders>
            <w:shd w:val="clear" w:color="000000" w:fill="FABF8F"/>
            <w:vAlign w:val="center"/>
            <w:hideMark/>
          </w:tcPr>
          <w:p w14:paraId="7E50A6BD" w14:textId="77777777" w:rsidR="00F924EA" w:rsidRPr="00F924EA" w:rsidRDefault="00F924EA" w:rsidP="00F924EA">
            <w:pPr>
              <w:jc w:val="center"/>
              <w:rPr>
                <w:rFonts w:eastAsia="Times New Roman" w:cs="Calibri"/>
                <w:b/>
                <w:bCs/>
                <w:sz w:val="20"/>
                <w:szCs w:val="20"/>
                <w:lang w:val="en-US"/>
              </w:rPr>
            </w:pPr>
            <w:r w:rsidRPr="00F924EA">
              <w:rPr>
                <w:rFonts w:eastAsia="Times New Roman" w:cs="Calibri"/>
                <w:b/>
                <w:bCs/>
                <w:sz w:val="20"/>
                <w:szCs w:val="20"/>
                <w:lang w:val="en-US"/>
              </w:rPr>
              <w:t>2021</w:t>
            </w:r>
          </w:p>
        </w:tc>
        <w:tc>
          <w:tcPr>
            <w:tcW w:w="1275" w:type="dxa"/>
            <w:tcBorders>
              <w:top w:val="nil"/>
              <w:left w:val="nil"/>
              <w:bottom w:val="single" w:sz="8" w:space="0" w:color="E26B0A"/>
              <w:right w:val="single" w:sz="8" w:space="0" w:color="E26B0A"/>
            </w:tcBorders>
            <w:shd w:val="clear" w:color="000000" w:fill="FABF8F"/>
            <w:vAlign w:val="center"/>
            <w:hideMark/>
          </w:tcPr>
          <w:p w14:paraId="7719AF3F" w14:textId="77777777" w:rsidR="00F924EA" w:rsidRPr="00F924EA" w:rsidRDefault="00F924EA" w:rsidP="00F924EA">
            <w:pPr>
              <w:jc w:val="center"/>
              <w:rPr>
                <w:rFonts w:eastAsia="Times New Roman" w:cs="Calibri"/>
                <w:b/>
                <w:bCs/>
                <w:sz w:val="20"/>
                <w:szCs w:val="20"/>
                <w:lang w:val="en-US"/>
              </w:rPr>
            </w:pPr>
            <w:r w:rsidRPr="00F924EA">
              <w:rPr>
                <w:rFonts w:eastAsia="Times New Roman" w:cs="Calibri"/>
                <w:b/>
                <w:bCs/>
                <w:sz w:val="20"/>
                <w:szCs w:val="20"/>
                <w:lang w:val="en-US"/>
              </w:rPr>
              <w:t>2020</w:t>
            </w:r>
          </w:p>
        </w:tc>
        <w:tc>
          <w:tcPr>
            <w:tcW w:w="1418" w:type="dxa"/>
            <w:tcBorders>
              <w:top w:val="nil"/>
              <w:left w:val="nil"/>
              <w:bottom w:val="single" w:sz="8" w:space="0" w:color="E26B0A"/>
              <w:right w:val="single" w:sz="8" w:space="0" w:color="E26B0A"/>
            </w:tcBorders>
            <w:shd w:val="clear" w:color="000000" w:fill="FABF8F"/>
            <w:vAlign w:val="center"/>
            <w:hideMark/>
          </w:tcPr>
          <w:p w14:paraId="2F64F734" w14:textId="77777777" w:rsidR="00F924EA" w:rsidRPr="00F924EA" w:rsidRDefault="00F924EA" w:rsidP="00F924EA">
            <w:pPr>
              <w:jc w:val="center"/>
              <w:rPr>
                <w:rFonts w:eastAsia="Times New Roman" w:cs="Calibri"/>
                <w:b/>
                <w:bCs/>
                <w:sz w:val="20"/>
                <w:szCs w:val="20"/>
                <w:lang w:val="en-US"/>
              </w:rPr>
            </w:pPr>
            <w:r w:rsidRPr="00F924EA">
              <w:rPr>
                <w:rFonts w:eastAsia="Times New Roman" w:cs="Calibri"/>
                <w:b/>
                <w:bCs/>
                <w:sz w:val="20"/>
                <w:szCs w:val="20"/>
                <w:lang w:val="en-US"/>
              </w:rPr>
              <w:t>изменение %</w:t>
            </w:r>
          </w:p>
        </w:tc>
      </w:tr>
      <w:tr w:rsidR="00F924EA" w:rsidRPr="00F924EA" w14:paraId="6A6B46D4" w14:textId="77777777" w:rsidTr="00F924EA">
        <w:trPr>
          <w:trHeight w:val="289"/>
        </w:trPr>
        <w:tc>
          <w:tcPr>
            <w:tcW w:w="4111" w:type="dxa"/>
            <w:tcBorders>
              <w:top w:val="nil"/>
              <w:left w:val="single" w:sz="8" w:space="0" w:color="E26B0A"/>
              <w:bottom w:val="single" w:sz="8" w:space="0" w:color="E26B0A"/>
              <w:right w:val="single" w:sz="8" w:space="0" w:color="E26B0A"/>
            </w:tcBorders>
            <w:shd w:val="clear" w:color="000000" w:fill="FDE9D9"/>
            <w:noWrap/>
            <w:vAlign w:val="center"/>
            <w:hideMark/>
          </w:tcPr>
          <w:p w14:paraId="0906789D" w14:textId="77777777" w:rsidR="00F924EA" w:rsidRPr="00F924EA" w:rsidRDefault="00F924EA" w:rsidP="00F924EA">
            <w:pPr>
              <w:jc w:val="both"/>
              <w:rPr>
                <w:rFonts w:eastAsia="Times New Roman" w:cs="Calibri"/>
                <w:color w:val="000000"/>
                <w:sz w:val="20"/>
                <w:szCs w:val="20"/>
                <w:lang w:val="en-US"/>
              </w:rPr>
            </w:pPr>
            <w:r w:rsidRPr="00F924EA">
              <w:rPr>
                <w:rFonts w:eastAsia="Times New Roman" w:cs="Calibri"/>
                <w:color w:val="000000"/>
                <w:sz w:val="20"/>
                <w:szCs w:val="20"/>
                <w:lang w:val="en-US"/>
              </w:rPr>
              <w:t xml:space="preserve">Приходи от медицински услуги </w:t>
            </w:r>
          </w:p>
        </w:tc>
        <w:tc>
          <w:tcPr>
            <w:tcW w:w="1418" w:type="dxa"/>
            <w:tcBorders>
              <w:top w:val="nil"/>
              <w:left w:val="nil"/>
              <w:bottom w:val="single" w:sz="8" w:space="0" w:color="E26B0A"/>
              <w:right w:val="single" w:sz="8" w:space="0" w:color="E26B0A"/>
            </w:tcBorders>
            <w:shd w:val="clear" w:color="000000" w:fill="FDE9D9"/>
            <w:hideMark/>
          </w:tcPr>
          <w:p w14:paraId="584DCF10" w14:textId="77777777" w:rsidR="00F924EA" w:rsidRPr="00F924EA" w:rsidRDefault="00F924EA" w:rsidP="00F924EA">
            <w:pPr>
              <w:jc w:val="center"/>
              <w:rPr>
                <w:rFonts w:eastAsia="Times New Roman" w:cs="Calibri"/>
                <w:sz w:val="20"/>
                <w:szCs w:val="20"/>
                <w:lang w:val="en-US"/>
              </w:rPr>
            </w:pPr>
            <w:r w:rsidRPr="00F924EA">
              <w:rPr>
                <w:rFonts w:eastAsia="Times New Roman" w:cs="Calibri"/>
                <w:sz w:val="20"/>
                <w:szCs w:val="20"/>
                <w:lang w:val="en-US"/>
              </w:rPr>
              <w:t>2 153</w:t>
            </w:r>
          </w:p>
        </w:tc>
        <w:tc>
          <w:tcPr>
            <w:tcW w:w="1275" w:type="dxa"/>
            <w:tcBorders>
              <w:top w:val="nil"/>
              <w:left w:val="nil"/>
              <w:bottom w:val="single" w:sz="8" w:space="0" w:color="E26B0A"/>
              <w:right w:val="single" w:sz="8" w:space="0" w:color="E26B0A"/>
            </w:tcBorders>
            <w:shd w:val="clear" w:color="000000" w:fill="FDE9D9"/>
            <w:hideMark/>
          </w:tcPr>
          <w:p w14:paraId="3C0D8336" w14:textId="77777777" w:rsidR="00F924EA" w:rsidRPr="00F924EA" w:rsidRDefault="00F924EA" w:rsidP="00F924EA">
            <w:pPr>
              <w:jc w:val="center"/>
              <w:rPr>
                <w:rFonts w:eastAsia="Times New Roman" w:cs="Calibri"/>
                <w:sz w:val="20"/>
                <w:szCs w:val="20"/>
                <w:lang w:val="en-US"/>
              </w:rPr>
            </w:pPr>
            <w:r w:rsidRPr="00F924EA">
              <w:rPr>
                <w:rFonts w:eastAsia="Times New Roman" w:cs="Calibri"/>
                <w:sz w:val="20"/>
                <w:szCs w:val="20"/>
                <w:lang w:val="en-US"/>
              </w:rPr>
              <w:t>1 733</w:t>
            </w:r>
          </w:p>
        </w:tc>
        <w:tc>
          <w:tcPr>
            <w:tcW w:w="1418" w:type="dxa"/>
            <w:tcBorders>
              <w:top w:val="nil"/>
              <w:left w:val="nil"/>
              <w:bottom w:val="single" w:sz="8" w:space="0" w:color="E26B0A"/>
              <w:right w:val="single" w:sz="8" w:space="0" w:color="E26B0A"/>
            </w:tcBorders>
            <w:shd w:val="clear" w:color="000000" w:fill="FDE9D9"/>
            <w:hideMark/>
          </w:tcPr>
          <w:p w14:paraId="6D6F85C2" w14:textId="77777777" w:rsidR="00F924EA" w:rsidRPr="00F924EA" w:rsidRDefault="00F924EA" w:rsidP="00F924EA">
            <w:pPr>
              <w:jc w:val="center"/>
              <w:rPr>
                <w:rFonts w:eastAsia="Times New Roman" w:cs="Calibri"/>
                <w:sz w:val="20"/>
                <w:szCs w:val="20"/>
                <w:lang w:val="en-US"/>
              </w:rPr>
            </w:pPr>
            <w:r w:rsidRPr="00F924EA">
              <w:rPr>
                <w:rFonts w:eastAsia="Times New Roman" w:cs="Calibri"/>
                <w:sz w:val="20"/>
                <w:szCs w:val="20"/>
                <w:lang w:val="en-US"/>
              </w:rPr>
              <w:t>24,24%</w:t>
            </w:r>
          </w:p>
        </w:tc>
      </w:tr>
      <w:tr w:rsidR="00F924EA" w:rsidRPr="00F924EA" w14:paraId="59B614D9" w14:textId="77777777" w:rsidTr="00F924EA">
        <w:trPr>
          <w:trHeight w:val="288"/>
        </w:trPr>
        <w:tc>
          <w:tcPr>
            <w:tcW w:w="4111" w:type="dxa"/>
            <w:tcBorders>
              <w:top w:val="nil"/>
              <w:left w:val="single" w:sz="8" w:space="0" w:color="E26B0A"/>
              <w:bottom w:val="single" w:sz="8" w:space="0" w:color="E26B0A"/>
              <w:right w:val="single" w:sz="8" w:space="0" w:color="E26B0A"/>
            </w:tcBorders>
            <w:shd w:val="clear" w:color="000000" w:fill="FDE9D9"/>
            <w:noWrap/>
            <w:vAlign w:val="center"/>
            <w:hideMark/>
          </w:tcPr>
          <w:p w14:paraId="30892DD3" w14:textId="77777777" w:rsidR="00F924EA" w:rsidRPr="00F924EA" w:rsidRDefault="00F924EA" w:rsidP="00F924EA">
            <w:pPr>
              <w:jc w:val="both"/>
              <w:rPr>
                <w:rFonts w:eastAsia="Times New Roman" w:cs="Calibri"/>
                <w:color w:val="000000"/>
                <w:sz w:val="20"/>
                <w:szCs w:val="20"/>
                <w:lang w:val="en-US"/>
              </w:rPr>
            </w:pPr>
            <w:r w:rsidRPr="00F924EA">
              <w:rPr>
                <w:rFonts w:eastAsia="Times New Roman" w:cs="Calibri"/>
                <w:color w:val="000000"/>
                <w:sz w:val="20"/>
                <w:szCs w:val="20"/>
                <w:lang w:val="en-US"/>
              </w:rPr>
              <w:t xml:space="preserve">Наеми </w:t>
            </w:r>
          </w:p>
        </w:tc>
        <w:tc>
          <w:tcPr>
            <w:tcW w:w="1418" w:type="dxa"/>
            <w:tcBorders>
              <w:top w:val="nil"/>
              <w:left w:val="nil"/>
              <w:bottom w:val="single" w:sz="8" w:space="0" w:color="E26B0A"/>
              <w:right w:val="single" w:sz="8" w:space="0" w:color="E26B0A"/>
            </w:tcBorders>
            <w:shd w:val="clear" w:color="000000" w:fill="FDE9D9"/>
            <w:hideMark/>
          </w:tcPr>
          <w:p w14:paraId="19AFC654" w14:textId="77777777" w:rsidR="00F924EA" w:rsidRPr="00F924EA" w:rsidRDefault="00F924EA" w:rsidP="00F924EA">
            <w:pPr>
              <w:jc w:val="center"/>
              <w:rPr>
                <w:rFonts w:eastAsia="Times New Roman" w:cs="Calibri"/>
                <w:sz w:val="20"/>
                <w:szCs w:val="20"/>
                <w:lang w:val="en-US"/>
              </w:rPr>
            </w:pPr>
            <w:r w:rsidRPr="00F924EA">
              <w:rPr>
                <w:rFonts w:eastAsia="Times New Roman" w:cs="Calibri"/>
                <w:sz w:val="20"/>
                <w:szCs w:val="20"/>
                <w:lang w:val="en-US"/>
              </w:rPr>
              <w:t>80</w:t>
            </w:r>
          </w:p>
        </w:tc>
        <w:tc>
          <w:tcPr>
            <w:tcW w:w="1275" w:type="dxa"/>
            <w:tcBorders>
              <w:top w:val="nil"/>
              <w:left w:val="nil"/>
              <w:bottom w:val="single" w:sz="8" w:space="0" w:color="E26B0A"/>
              <w:right w:val="single" w:sz="8" w:space="0" w:color="E26B0A"/>
            </w:tcBorders>
            <w:shd w:val="clear" w:color="000000" w:fill="FDE9D9"/>
            <w:hideMark/>
          </w:tcPr>
          <w:p w14:paraId="075853B8" w14:textId="77777777" w:rsidR="00F924EA" w:rsidRPr="00F924EA" w:rsidRDefault="00F924EA" w:rsidP="00F924EA">
            <w:pPr>
              <w:jc w:val="center"/>
              <w:rPr>
                <w:rFonts w:eastAsia="Times New Roman" w:cs="Calibri"/>
                <w:sz w:val="20"/>
                <w:szCs w:val="20"/>
                <w:lang w:val="en-US"/>
              </w:rPr>
            </w:pPr>
            <w:r w:rsidRPr="00F924EA">
              <w:rPr>
                <w:rFonts w:eastAsia="Times New Roman" w:cs="Calibri"/>
                <w:sz w:val="20"/>
                <w:szCs w:val="20"/>
                <w:lang w:val="en-US"/>
              </w:rPr>
              <w:t>83</w:t>
            </w:r>
          </w:p>
        </w:tc>
        <w:tc>
          <w:tcPr>
            <w:tcW w:w="1418" w:type="dxa"/>
            <w:tcBorders>
              <w:top w:val="nil"/>
              <w:left w:val="nil"/>
              <w:bottom w:val="single" w:sz="8" w:space="0" w:color="E26B0A"/>
              <w:right w:val="single" w:sz="8" w:space="0" w:color="E26B0A"/>
            </w:tcBorders>
            <w:shd w:val="clear" w:color="000000" w:fill="FDE9D9"/>
            <w:hideMark/>
          </w:tcPr>
          <w:p w14:paraId="62906D18" w14:textId="77777777" w:rsidR="00F924EA" w:rsidRPr="00F924EA" w:rsidRDefault="00F924EA" w:rsidP="00F924EA">
            <w:pPr>
              <w:jc w:val="center"/>
              <w:rPr>
                <w:rFonts w:eastAsia="Times New Roman" w:cs="Calibri"/>
                <w:sz w:val="20"/>
                <w:szCs w:val="20"/>
                <w:lang w:val="en-US"/>
              </w:rPr>
            </w:pPr>
            <w:r w:rsidRPr="00F924EA">
              <w:rPr>
                <w:rFonts w:eastAsia="Times New Roman" w:cs="Calibri"/>
                <w:sz w:val="20"/>
                <w:szCs w:val="20"/>
                <w:lang w:val="en-US"/>
              </w:rPr>
              <w:t>-3,61%</w:t>
            </w:r>
          </w:p>
        </w:tc>
      </w:tr>
      <w:tr w:rsidR="00F924EA" w:rsidRPr="00F924EA" w14:paraId="571C204A" w14:textId="77777777" w:rsidTr="00F924EA">
        <w:trPr>
          <w:trHeight w:val="288"/>
        </w:trPr>
        <w:tc>
          <w:tcPr>
            <w:tcW w:w="4111" w:type="dxa"/>
            <w:tcBorders>
              <w:top w:val="nil"/>
              <w:left w:val="single" w:sz="8" w:space="0" w:color="E26B0A"/>
              <w:bottom w:val="single" w:sz="8" w:space="0" w:color="E26B0A"/>
              <w:right w:val="single" w:sz="8" w:space="0" w:color="E26B0A"/>
            </w:tcBorders>
            <w:shd w:val="clear" w:color="000000" w:fill="FDE9D9"/>
            <w:noWrap/>
            <w:vAlign w:val="center"/>
            <w:hideMark/>
          </w:tcPr>
          <w:p w14:paraId="394AAE96" w14:textId="77777777" w:rsidR="00F924EA" w:rsidRPr="00F924EA" w:rsidRDefault="00F924EA" w:rsidP="00F924EA">
            <w:pPr>
              <w:jc w:val="both"/>
              <w:rPr>
                <w:rFonts w:eastAsia="Times New Roman" w:cs="Calibri"/>
                <w:color w:val="000000"/>
                <w:sz w:val="20"/>
                <w:szCs w:val="20"/>
                <w:lang w:val="en-US"/>
              </w:rPr>
            </w:pPr>
            <w:r w:rsidRPr="00F924EA">
              <w:rPr>
                <w:rFonts w:eastAsia="Times New Roman" w:cs="Calibri"/>
                <w:color w:val="000000"/>
                <w:sz w:val="20"/>
                <w:szCs w:val="20"/>
                <w:lang w:val="en-US"/>
              </w:rPr>
              <w:t xml:space="preserve">Приходи от финансиране </w:t>
            </w:r>
          </w:p>
        </w:tc>
        <w:tc>
          <w:tcPr>
            <w:tcW w:w="1418" w:type="dxa"/>
            <w:tcBorders>
              <w:top w:val="nil"/>
              <w:left w:val="nil"/>
              <w:bottom w:val="single" w:sz="4" w:space="0" w:color="auto"/>
              <w:right w:val="single" w:sz="8" w:space="0" w:color="E26B0A"/>
            </w:tcBorders>
            <w:shd w:val="clear" w:color="000000" w:fill="FDE9D9"/>
            <w:hideMark/>
          </w:tcPr>
          <w:p w14:paraId="01187D99" w14:textId="77777777" w:rsidR="00F924EA" w:rsidRPr="00F924EA" w:rsidRDefault="00F924EA" w:rsidP="00F924EA">
            <w:pPr>
              <w:jc w:val="center"/>
              <w:rPr>
                <w:rFonts w:eastAsia="Times New Roman" w:cs="Calibri"/>
                <w:sz w:val="20"/>
                <w:szCs w:val="20"/>
                <w:lang w:val="en-US"/>
              </w:rPr>
            </w:pPr>
            <w:r w:rsidRPr="00F924EA">
              <w:rPr>
                <w:rFonts w:eastAsia="Times New Roman" w:cs="Calibri"/>
                <w:sz w:val="20"/>
                <w:szCs w:val="20"/>
                <w:lang w:val="en-US"/>
              </w:rPr>
              <w:t>35</w:t>
            </w:r>
          </w:p>
        </w:tc>
        <w:tc>
          <w:tcPr>
            <w:tcW w:w="1275" w:type="dxa"/>
            <w:tcBorders>
              <w:top w:val="nil"/>
              <w:left w:val="nil"/>
              <w:bottom w:val="single" w:sz="4" w:space="0" w:color="auto"/>
              <w:right w:val="single" w:sz="8" w:space="0" w:color="E26B0A"/>
            </w:tcBorders>
            <w:shd w:val="clear" w:color="000000" w:fill="FDE9D9"/>
            <w:hideMark/>
          </w:tcPr>
          <w:p w14:paraId="2397068A" w14:textId="77777777" w:rsidR="00F924EA" w:rsidRPr="00F924EA" w:rsidRDefault="00F924EA" w:rsidP="00F924EA">
            <w:pPr>
              <w:jc w:val="center"/>
              <w:rPr>
                <w:rFonts w:eastAsia="Times New Roman" w:cs="Calibri"/>
                <w:sz w:val="20"/>
                <w:szCs w:val="20"/>
                <w:lang w:val="en-US"/>
              </w:rPr>
            </w:pPr>
            <w:r w:rsidRPr="00F924EA">
              <w:rPr>
                <w:rFonts w:eastAsia="Times New Roman" w:cs="Calibri"/>
                <w:sz w:val="20"/>
                <w:szCs w:val="20"/>
                <w:lang w:val="en-US"/>
              </w:rPr>
              <w:t>39</w:t>
            </w:r>
          </w:p>
        </w:tc>
        <w:tc>
          <w:tcPr>
            <w:tcW w:w="1418" w:type="dxa"/>
            <w:tcBorders>
              <w:top w:val="nil"/>
              <w:left w:val="nil"/>
              <w:bottom w:val="single" w:sz="8" w:space="0" w:color="E26B0A"/>
              <w:right w:val="single" w:sz="8" w:space="0" w:color="E26B0A"/>
            </w:tcBorders>
            <w:shd w:val="clear" w:color="000000" w:fill="FDE9D9"/>
            <w:hideMark/>
          </w:tcPr>
          <w:p w14:paraId="73E29933" w14:textId="77777777" w:rsidR="00F924EA" w:rsidRPr="00F924EA" w:rsidRDefault="00F924EA" w:rsidP="00F924EA">
            <w:pPr>
              <w:jc w:val="center"/>
              <w:rPr>
                <w:rFonts w:eastAsia="Times New Roman" w:cs="Calibri"/>
                <w:sz w:val="20"/>
                <w:szCs w:val="20"/>
                <w:lang w:val="en-US"/>
              </w:rPr>
            </w:pPr>
            <w:r w:rsidRPr="00F924EA">
              <w:rPr>
                <w:rFonts w:eastAsia="Times New Roman" w:cs="Calibri"/>
                <w:sz w:val="20"/>
                <w:szCs w:val="20"/>
                <w:lang w:val="en-US"/>
              </w:rPr>
              <w:t>-10,26%</w:t>
            </w:r>
          </w:p>
        </w:tc>
      </w:tr>
      <w:tr w:rsidR="00F924EA" w:rsidRPr="00F924EA" w14:paraId="74AF6C12" w14:textId="77777777" w:rsidTr="00F924EA">
        <w:trPr>
          <w:trHeight w:val="218"/>
        </w:trPr>
        <w:tc>
          <w:tcPr>
            <w:tcW w:w="4111" w:type="dxa"/>
            <w:tcBorders>
              <w:top w:val="nil"/>
              <w:left w:val="single" w:sz="8" w:space="0" w:color="E26B0A"/>
              <w:bottom w:val="single" w:sz="8" w:space="0" w:color="E26B0A"/>
              <w:right w:val="single" w:sz="8" w:space="0" w:color="E26B0A"/>
            </w:tcBorders>
            <w:shd w:val="clear" w:color="000000" w:fill="FDE9D9"/>
            <w:noWrap/>
            <w:vAlign w:val="center"/>
            <w:hideMark/>
          </w:tcPr>
          <w:p w14:paraId="6D0FA88C" w14:textId="77777777" w:rsidR="00F924EA" w:rsidRPr="00F924EA" w:rsidRDefault="00F924EA" w:rsidP="00F924EA">
            <w:pPr>
              <w:jc w:val="both"/>
              <w:rPr>
                <w:rFonts w:eastAsia="Times New Roman" w:cs="Calibri"/>
                <w:color w:val="000000"/>
                <w:sz w:val="20"/>
                <w:szCs w:val="20"/>
                <w:lang w:val="en-US"/>
              </w:rPr>
            </w:pPr>
            <w:r w:rsidRPr="00F924EA">
              <w:rPr>
                <w:rFonts w:eastAsia="Times New Roman" w:cs="Calibri"/>
                <w:color w:val="000000"/>
                <w:sz w:val="20"/>
                <w:szCs w:val="20"/>
                <w:lang w:val="en-US"/>
              </w:rPr>
              <w:t>Други</w:t>
            </w:r>
          </w:p>
        </w:tc>
        <w:tc>
          <w:tcPr>
            <w:tcW w:w="1418" w:type="dxa"/>
            <w:tcBorders>
              <w:top w:val="nil"/>
              <w:left w:val="single" w:sz="4" w:space="0" w:color="auto"/>
              <w:bottom w:val="single" w:sz="4" w:space="0" w:color="auto"/>
              <w:right w:val="single" w:sz="4" w:space="0" w:color="auto"/>
            </w:tcBorders>
            <w:shd w:val="clear" w:color="000000" w:fill="FDE9D9"/>
            <w:hideMark/>
          </w:tcPr>
          <w:p w14:paraId="0CC1F1C2" w14:textId="77777777" w:rsidR="00F924EA" w:rsidRPr="00F924EA" w:rsidRDefault="00F924EA" w:rsidP="00F924EA">
            <w:pPr>
              <w:jc w:val="center"/>
              <w:rPr>
                <w:rFonts w:eastAsia="Times New Roman" w:cs="Calibri"/>
                <w:sz w:val="20"/>
                <w:szCs w:val="20"/>
                <w:lang w:val="en-US"/>
              </w:rPr>
            </w:pPr>
            <w:r w:rsidRPr="00F924EA">
              <w:rPr>
                <w:rFonts w:eastAsia="Times New Roman" w:cs="Calibri"/>
                <w:sz w:val="20"/>
                <w:szCs w:val="20"/>
                <w:lang w:val="en-US"/>
              </w:rPr>
              <w:t>24</w:t>
            </w:r>
          </w:p>
        </w:tc>
        <w:tc>
          <w:tcPr>
            <w:tcW w:w="1275" w:type="dxa"/>
            <w:tcBorders>
              <w:top w:val="nil"/>
              <w:left w:val="nil"/>
              <w:bottom w:val="single" w:sz="4" w:space="0" w:color="auto"/>
              <w:right w:val="single" w:sz="4" w:space="0" w:color="auto"/>
            </w:tcBorders>
            <w:shd w:val="clear" w:color="000000" w:fill="FDE9D9"/>
            <w:hideMark/>
          </w:tcPr>
          <w:p w14:paraId="07644C5D" w14:textId="77777777" w:rsidR="00F924EA" w:rsidRPr="00F924EA" w:rsidRDefault="00F924EA" w:rsidP="00F924EA">
            <w:pPr>
              <w:jc w:val="center"/>
              <w:rPr>
                <w:rFonts w:eastAsia="Times New Roman" w:cs="Calibri"/>
                <w:sz w:val="20"/>
                <w:szCs w:val="20"/>
                <w:lang w:val="en-US"/>
              </w:rPr>
            </w:pPr>
            <w:r w:rsidRPr="00F924EA">
              <w:rPr>
                <w:rFonts w:eastAsia="Times New Roman" w:cs="Calibri"/>
                <w:sz w:val="20"/>
                <w:szCs w:val="20"/>
                <w:lang w:val="en-US"/>
              </w:rPr>
              <w:t>25</w:t>
            </w:r>
          </w:p>
        </w:tc>
        <w:tc>
          <w:tcPr>
            <w:tcW w:w="1418" w:type="dxa"/>
            <w:tcBorders>
              <w:top w:val="nil"/>
              <w:left w:val="single" w:sz="8" w:space="0" w:color="E26B0A"/>
              <w:bottom w:val="single" w:sz="8" w:space="0" w:color="E26B0A"/>
              <w:right w:val="single" w:sz="8" w:space="0" w:color="E26B0A"/>
            </w:tcBorders>
            <w:shd w:val="clear" w:color="000000" w:fill="FDE9D9"/>
            <w:hideMark/>
          </w:tcPr>
          <w:p w14:paraId="2DD237B2" w14:textId="77777777" w:rsidR="00F924EA" w:rsidRPr="00F924EA" w:rsidRDefault="00F924EA" w:rsidP="00F924EA">
            <w:pPr>
              <w:jc w:val="center"/>
              <w:rPr>
                <w:rFonts w:eastAsia="Times New Roman" w:cs="Calibri"/>
                <w:sz w:val="20"/>
                <w:szCs w:val="20"/>
                <w:lang w:val="en-US"/>
              </w:rPr>
            </w:pPr>
            <w:r w:rsidRPr="00F924EA">
              <w:rPr>
                <w:rFonts w:eastAsia="Times New Roman" w:cs="Calibri"/>
                <w:sz w:val="20"/>
                <w:szCs w:val="20"/>
                <w:lang w:val="en-US"/>
              </w:rPr>
              <w:t>-4,00%</w:t>
            </w:r>
          </w:p>
        </w:tc>
      </w:tr>
      <w:tr w:rsidR="00F924EA" w:rsidRPr="00F924EA" w14:paraId="2B6695EE" w14:textId="77777777" w:rsidTr="00F924EA">
        <w:trPr>
          <w:trHeight w:val="375"/>
        </w:trPr>
        <w:tc>
          <w:tcPr>
            <w:tcW w:w="4111" w:type="dxa"/>
            <w:tcBorders>
              <w:top w:val="nil"/>
              <w:left w:val="single" w:sz="8" w:space="0" w:color="E26B0A"/>
              <w:bottom w:val="single" w:sz="8" w:space="0" w:color="E26B0A"/>
              <w:right w:val="single" w:sz="8" w:space="0" w:color="E26B0A"/>
            </w:tcBorders>
            <w:shd w:val="clear" w:color="000000" w:fill="FDE9D9"/>
            <w:noWrap/>
            <w:vAlign w:val="bottom"/>
            <w:hideMark/>
          </w:tcPr>
          <w:p w14:paraId="08D1E887" w14:textId="77777777" w:rsidR="00F924EA" w:rsidRPr="00F924EA" w:rsidRDefault="00F924EA" w:rsidP="00F924EA">
            <w:pPr>
              <w:rPr>
                <w:rFonts w:eastAsia="Times New Roman" w:cs="Calibri"/>
                <w:sz w:val="20"/>
                <w:szCs w:val="20"/>
                <w:lang w:val="en-US"/>
              </w:rPr>
            </w:pPr>
            <w:r w:rsidRPr="00F924EA">
              <w:rPr>
                <w:rFonts w:eastAsia="Times New Roman" w:cs="Calibri"/>
                <w:sz w:val="20"/>
                <w:szCs w:val="20"/>
                <w:lang w:val="en-US"/>
              </w:rPr>
              <w:t>Общо приходи от продажби</w:t>
            </w:r>
          </w:p>
        </w:tc>
        <w:tc>
          <w:tcPr>
            <w:tcW w:w="1418" w:type="dxa"/>
            <w:tcBorders>
              <w:top w:val="nil"/>
              <w:left w:val="nil"/>
              <w:bottom w:val="single" w:sz="8" w:space="0" w:color="E26B0A"/>
              <w:right w:val="single" w:sz="8" w:space="0" w:color="E26B0A"/>
            </w:tcBorders>
            <w:shd w:val="clear" w:color="000000" w:fill="FDE9D9"/>
            <w:noWrap/>
            <w:vAlign w:val="bottom"/>
            <w:hideMark/>
          </w:tcPr>
          <w:p w14:paraId="77D22B6D" w14:textId="77777777" w:rsidR="00F924EA" w:rsidRPr="00F924EA" w:rsidRDefault="00F924EA" w:rsidP="00F924EA">
            <w:pPr>
              <w:jc w:val="center"/>
              <w:rPr>
                <w:rFonts w:eastAsia="Times New Roman" w:cs="Calibri"/>
                <w:b/>
                <w:bCs/>
                <w:sz w:val="20"/>
                <w:szCs w:val="20"/>
                <w:lang w:val="en-US"/>
              </w:rPr>
            </w:pPr>
            <w:r w:rsidRPr="00F924EA">
              <w:rPr>
                <w:rFonts w:eastAsia="Times New Roman" w:cs="Calibri"/>
                <w:b/>
                <w:bCs/>
                <w:sz w:val="20"/>
                <w:szCs w:val="20"/>
                <w:lang w:val="en-US"/>
              </w:rPr>
              <w:t>2 292</w:t>
            </w:r>
          </w:p>
        </w:tc>
        <w:tc>
          <w:tcPr>
            <w:tcW w:w="1275" w:type="dxa"/>
            <w:tcBorders>
              <w:top w:val="nil"/>
              <w:left w:val="nil"/>
              <w:bottom w:val="single" w:sz="8" w:space="0" w:color="E26B0A"/>
              <w:right w:val="single" w:sz="8" w:space="0" w:color="E26B0A"/>
            </w:tcBorders>
            <w:shd w:val="clear" w:color="000000" w:fill="FDE9D9"/>
            <w:noWrap/>
            <w:vAlign w:val="bottom"/>
            <w:hideMark/>
          </w:tcPr>
          <w:p w14:paraId="54D8F121" w14:textId="77777777" w:rsidR="00F924EA" w:rsidRPr="00F924EA" w:rsidRDefault="00F924EA" w:rsidP="00F924EA">
            <w:pPr>
              <w:jc w:val="center"/>
              <w:rPr>
                <w:rFonts w:eastAsia="Times New Roman" w:cs="Calibri"/>
                <w:b/>
                <w:bCs/>
                <w:sz w:val="20"/>
                <w:szCs w:val="20"/>
                <w:lang w:val="en-US"/>
              </w:rPr>
            </w:pPr>
            <w:r w:rsidRPr="00F924EA">
              <w:rPr>
                <w:rFonts w:eastAsia="Times New Roman" w:cs="Calibri"/>
                <w:b/>
                <w:bCs/>
                <w:sz w:val="20"/>
                <w:szCs w:val="20"/>
                <w:lang w:val="en-US"/>
              </w:rPr>
              <w:t>1 880</w:t>
            </w:r>
          </w:p>
        </w:tc>
        <w:tc>
          <w:tcPr>
            <w:tcW w:w="1418" w:type="dxa"/>
            <w:tcBorders>
              <w:top w:val="nil"/>
              <w:left w:val="nil"/>
              <w:bottom w:val="single" w:sz="8" w:space="0" w:color="E26B0A"/>
              <w:right w:val="single" w:sz="8" w:space="0" w:color="E26B0A"/>
            </w:tcBorders>
            <w:shd w:val="clear" w:color="000000" w:fill="FDE9D9"/>
            <w:hideMark/>
          </w:tcPr>
          <w:p w14:paraId="21A754A2" w14:textId="77777777" w:rsidR="00F924EA" w:rsidRPr="00F924EA" w:rsidRDefault="00F924EA" w:rsidP="00F924EA">
            <w:pPr>
              <w:jc w:val="center"/>
              <w:rPr>
                <w:rFonts w:eastAsia="Times New Roman" w:cs="Calibri"/>
                <w:sz w:val="20"/>
                <w:szCs w:val="20"/>
                <w:lang w:val="en-US"/>
              </w:rPr>
            </w:pPr>
            <w:r w:rsidRPr="00F924EA">
              <w:rPr>
                <w:rFonts w:eastAsia="Times New Roman" w:cs="Calibri"/>
                <w:sz w:val="20"/>
                <w:szCs w:val="20"/>
                <w:lang w:val="en-US"/>
              </w:rPr>
              <w:t>122%</w:t>
            </w:r>
          </w:p>
        </w:tc>
      </w:tr>
    </w:tbl>
    <w:p w14:paraId="09F43E7D" w14:textId="7A0DE8BF" w:rsidR="00BE44E7" w:rsidRDefault="00BE44E7" w:rsidP="00BE44E7">
      <w:pPr>
        <w:tabs>
          <w:tab w:val="left" w:pos="0"/>
        </w:tabs>
        <w:ind w:right="114" w:firstLine="708"/>
        <w:jc w:val="both"/>
      </w:pPr>
    </w:p>
    <w:p w14:paraId="7C86B09A" w14:textId="5631FF6D" w:rsidR="00BE44E7" w:rsidRDefault="00BE44E7" w:rsidP="001F2D99">
      <w:pPr>
        <w:tabs>
          <w:tab w:val="left" w:pos="0"/>
        </w:tabs>
        <w:ind w:right="114"/>
        <w:jc w:val="both"/>
        <w:rPr>
          <w:lang w:val="en-US"/>
        </w:rPr>
      </w:pPr>
    </w:p>
    <w:p w14:paraId="7BEF4391" w14:textId="72D41566" w:rsidR="00BE44E7" w:rsidRDefault="00BE44E7" w:rsidP="001F2D99">
      <w:pPr>
        <w:tabs>
          <w:tab w:val="left" w:pos="0"/>
        </w:tabs>
        <w:ind w:right="114"/>
        <w:jc w:val="both"/>
        <w:rPr>
          <w:lang w:val="en-US"/>
        </w:rPr>
      </w:pPr>
      <w:r>
        <w:rPr>
          <w:noProof/>
          <w:lang w:eastAsia="bg-BG"/>
        </w:rPr>
        <w:drawing>
          <wp:inline distT="0" distB="0" distL="0" distR="0" wp14:anchorId="43E47561" wp14:editId="6324BDF2">
            <wp:extent cx="5223510" cy="3649980"/>
            <wp:effectExtent l="57150" t="0" r="53340" b="121920"/>
            <wp:docPr id="5538" name="Chart 553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0553BFA-ADB3-4960-84AB-7BAD08009F2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64534679" w14:textId="77777777" w:rsidR="0047438C" w:rsidRPr="00F74B87" w:rsidRDefault="0047438C" w:rsidP="001F2D99">
      <w:pPr>
        <w:tabs>
          <w:tab w:val="left" w:pos="0"/>
        </w:tabs>
        <w:ind w:right="114"/>
        <w:jc w:val="both"/>
        <w:rPr>
          <w:lang w:val="en-US"/>
        </w:rPr>
      </w:pPr>
    </w:p>
    <w:p w14:paraId="43A92849" w14:textId="065F58C8" w:rsidR="00F74B87" w:rsidRDefault="00CB4269" w:rsidP="00CB4269">
      <w:pPr>
        <w:tabs>
          <w:tab w:val="left" w:pos="0"/>
        </w:tabs>
        <w:ind w:right="114"/>
        <w:jc w:val="both"/>
        <w:rPr>
          <w:highlight w:val="red"/>
        </w:rPr>
      </w:pPr>
      <w:r w:rsidRPr="00F74B87">
        <w:t xml:space="preserve">Реализираните  услуги в натурално изражение за </w:t>
      </w:r>
      <w:r w:rsidR="00487716" w:rsidRPr="00F74B87">
        <w:t>2021</w:t>
      </w:r>
      <w:r w:rsidRPr="00F74B87">
        <w:t xml:space="preserve"> г. и тяхното изменение спрямо </w:t>
      </w:r>
      <w:r w:rsidR="00487716" w:rsidRPr="00F74B87">
        <w:t>2020</w:t>
      </w:r>
      <w:r w:rsidRPr="00F74B87">
        <w:t xml:space="preserve"> г. са както следва:</w:t>
      </w:r>
    </w:p>
    <w:tbl>
      <w:tblPr>
        <w:tblW w:w="8354" w:type="dxa"/>
        <w:tblLook w:val="04A0" w:firstRow="1" w:lastRow="0" w:firstColumn="1" w:lastColumn="0" w:noHBand="0" w:noVBand="1"/>
      </w:tblPr>
      <w:tblGrid>
        <w:gridCol w:w="4668"/>
        <w:gridCol w:w="992"/>
        <w:gridCol w:w="1276"/>
        <w:gridCol w:w="1418"/>
      </w:tblGrid>
      <w:tr w:rsidR="00F74B87" w:rsidRPr="00F74B87" w14:paraId="2234A642" w14:textId="77777777" w:rsidTr="00F74B87">
        <w:trPr>
          <w:trHeight w:val="288"/>
        </w:trPr>
        <w:tc>
          <w:tcPr>
            <w:tcW w:w="8354" w:type="dxa"/>
            <w:gridSpan w:val="4"/>
            <w:tcBorders>
              <w:top w:val="single" w:sz="8" w:space="0" w:color="E26B0A"/>
              <w:left w:val="single" w:sz="8" w:space="0" w:color="E26B0A"/>
              <w:bottom w:val="single" w:sz="8" w:space="0" w:color="E26B0A"/>
              <w:right w:val="single" w:sz="8" w:space="0" w:color="E26B0A"/>
            </w:tcBorders>
            <w:shd w:val="clear" w:color="000000" w:fill="E26B0A"/>
            <w:hideMark/>
          </w:tcPr>
          <w:p w14:paraId="127EB6BA" w14:textId="77777777" w:rsidR="00F74B87" w:rsidRPr="00F74B87" w:rsidRDefault="00F74B87" w:rsidP="00F74B87">
            <w:pPr>
              <w:jc w:val="center"/>
              <w:rPr>
                <w:rFonts w:eastAsia="Times New Roman" w:cs="Calibri"/>
                <w:b/>
                <w:bCs/>
                <w:color w:val="FFFFFF"/>
                <w:sz w:val="20"/>
                <w:szCs w:val="20"/>
                <w:lang w:val="en-US"/>
              </w:rPr>
            </w:pPr>
            <w:r w:rsidRPr="00F74B87">
              <w:rPr>
                <w:rFonts w:eastAsia="Times New Roman" w:cs="Calibri"/>
                <w:b/>
                <w:bCs/>
                <w:color w:val="FFFFFF"/>
                <w:sz w:val="20"/>
                <w:szCs w:val="20"/>
                <w:lang w:val="en-US"/>
              </w:rPr>
              <w:t>Реализирани  услуги в количествено изражение</w:t>
            </w:r>
          </w:p>
        </w:tc>
      </w:tr>
      <w:tr w:rsidR="00F74B87" w:rsidRPr="00F74B87" w14:paraId="62CB0A96" w14:textId="77777777" w:rsidTr="00F74B87">
        <w:trPr>
          <w:trHeight w:val="564"/>
        </w:trPr>
        <w:tc>
          <w:tcPr>
            <w:tcW w:w="4668" w:type="dxa"/>
            <w:tcBorders>
              <w:top w:val="nil"/>
              <w:left w:val="single" w:sz="8" w:space="0" w:color="E26B0A"/>
              <w:bottom w:val="single" w:sz="8" w:space="0" w:color="E26B0A"/>
              <w:right w:val="single" w:sz="8" w:space="0" w:color="E26B0A"/>
            </w:tcBorders>
            <w:shd w:val="clear" w:color="000000" w:fill="FABF8F"/>
            <w:vAlign w:val="center"/>
            <w:hideMark/>
          </w:tcPr>
          <w:p w14:paraId="58DAFDA7" w14:textId="77777777" w:rsidR="00F74B87" w:rsidRPr="00F74B87" w:rsidRDefault="00F74B87" w:rsidP="00F74B87">
            <w:pPr>
              <w:jc w:val="center"/>
              <w:rPr>
                <w:rFonts w:eastAsia="Times New Roman" w:cs="Calibri"/>
                <w:b/>
                <w:bCs/>
                <w:sz w:val="20"/>
                <w:szCs w:val="20"/>
                <w:lang w:val="en-US"/>
              </w:rPr>
            </w:pPr>
            <w:r w:rsidRPr="00F74B87">
              <w:rPr>
                <w:rFonts w:eastAsia="Times New Roman" w:cs="Calibri"/>
                <w:b/>
                <w:bCs/>
                <w:sz w:val="20"/>
                <w:szCs w:val="20"/>
                <w:lang w:val="en-US"/>
              </w:rPr>
              <w:t>Видове стоки/ продукти/услуги</w:t>
            </w:r>
          </w:p>
        </w:tc>
        <w:tc>
          <w:tcPr>
            <w:tcW w:w="992" w:type="dxa"/>
            <w:tcBorders>
              <w:top w:val="nil"/>
              <w:left w:val="nil"/>
              <w:bottom w:val="single" w:sz="8" w:space="0" w:color="E26B0A"/>
              <w:right w:val="single" w:sz="8" w:space="0" w:color="E26B0A"/>
            </w:tcBorders>
            <w:shd w:val="clear" w:color="000000" w:fill="FABF8F"/>
            <w:vAlign w:val="center"/>
            <w:hideMark/>
          </w:tcPr>
          <w:p w14:paraId="6441DB0A" w14:textId="77777777" w:rsidR="00F74B87" w:rsidRPr="00F74B87" w:rsidRDefault="00F74B87" w:rsidP="00F74B87">
            <w:pPr>
              <w:jc w:val="center"/>
              <w:rPr>
                <w:rFonts w:eastAsia="Times New Roman" w:cs="Calibri"/>
                <w:b/>
                <w:bCs/>
                <w:sz w:val="20"/>
                <w:szCs w:val="20"/>
                <w:lang w:val="en-US"/>
              </w:rPr>
            </w:pPr>
            <w:r w:rsidRPr="00F74B87">
              <w:rPr>
                <w:rFonts w:eastAsia="Times New Roman" w:cs="Calibri"/>
                <w:b/>
                <w:bCs/>
                <w:sz w:val="20"/>
                <w:szCs w:val="20"/>
                <w:lang w:val="en-US"/>
              </w:rPr>
              <w:t>2021</w:t>
            </w:r>
          </w:p>
        </w:tc>
        <w:tc>
          <w:tcPr>
            <w:tcW w:w="1276" w:type="dxa"/>
            <w:tcBorders>
              <w:top w:val="nil"/>
              <w:left w:val="nil"/>
              <w:bottom w:val="single" w:sz="8" w:space="0" w:color="E26B0A"/>
              <w:right w:val="single" w:sz="8" w:space="0" w:color="E26B0A"/>
            </w:tcBorders>
            <w:shd w:val="clear" w:color="000000" w:fill="FABF8F"/>
            <w:vAlign w:val="center"/>
            <w:hideMark/>
          </w:tcPr>
          <w:p w14:paraId="4D7CF3A3" w14:textId="77777777" w:rsidR="00F74B87" w:rsidRPr="00F74B87" w:rsidRDefault="00F74B87" w:rsidP="00F74B87">
            <w:pPr>
              <w:jc w:val="center"/>
              <w:rPr>
                <w:rFonts w:eastAsia="Times New Roman" w:cs="Calibri"/>
                <w:b/>
                <w:bCs/>
                <w:sz w:val="20"/>
                <w:szCs w:val="20"/>
                <w:lang w:val="en-US"/>
              </w:rPr>
            </w:pPr>
            <w:r w:rsidRPr="00F74B87">
              <w:rPr>
                <w:rFonts w:eastAsia="Times New Roman" w:cs="Calibri"/>
                <w:b/>
                <w:bCs/>
                <w:sz w:val="20"/>
                <w:szCs w:val="20"/>
                <w:lang w:val="en-US"/>
              </w:rPr>
              <w:t>2020</w:t>
            </w:r>
          </w:p>
        </w:tc>
        <w:tc>
          <w:tcPr>
            <w:tcW w:w="1418" w:type="dxa"/>
            <w:tcBorders>
              <w:top w:val="nil"/>
              <w:left w:val="nil"/>
              <w:bottom w:val="single" w:sz="8" w:space="0" w:color="E26B0A"/>
              <w:right w:val="single" w:sz="8" w:space="0" w:color="E26B0A"/>
            </w:tcBorders>
            <w:shd w:val="clear" w:color="000000" w:fill="FABF8F"/>
            <w:vAlign w:val="center"/>
            <w:hideMark/>
          </w:tcPr>
          <w:p w14:paraId="4D9B885C" w14:textId="77777777" w:rsidR="00F74B87" w:rsidRPr="00F74B87" w:rsidRDefault="00F74B87" w:rsidP="00F74B87">
            <w:pPr>
              <w:jc w:val="center"/>
              <w:rPr>
                <w:rFonts w:eastAsia="Times New Roman" w:cs="Calibri"/>
                <w:b/>
                <w:bCs/>
                <w:sz w:val="20"/>
                <w:szCs w:val="20"/>
                <w:lang w:val="en-US"/>
              </w:rPr>
            </w:pPr>
            <w:r w:rsidRPr="00F74B87">
              <w:rPr>
                <w:rFonts w:eastAsia="Times New Roman" w:cs="Calibri"/>
                <w:b/>
                <w:bCs/>
                <w:sz w:val="20"/>
                <w:szCs w:val="20"/>
                <w:lang w:val="en-US"/>
              </w:rPr>
              <w:t>изменение %</w:t>
            </w:r>
          </w:p>
        </w:tc>
      </w:tr>
      <w:tr w:rsidR="00F74B87" w:rsidRPr="00F74B87" w14:paraId="0E8C3BE1" w14:textId="77777777" w:rsidTr="00F74B87">
        <w:trPr>
          <w:trHeight w:val="288"/>
        </w:trPr>
        <w:tc>
          <w:tcPr>
            <w:tcW w:w="4668" w:type="dxa"/>
            <w:tcBorders>
              <w:top w:val="nil"/>
              <w:left w:val="single" w:sz="8" w:space="0" w:color="E26B0A"/>
              <w:bottom w:val="single" w:sz="8" w:space="0" w:color="E26B0A"/>
              <w:right w:val="single" w:sz="8" w:space="0" w:color="E26B0A"/>
            </w:tcBorders>
            <w:shd w:val="clear" w:color="000000" w:fill="FDE9D9"/>
            <w:noWrap/>
            <w:vAlign w:val="center"/>
            <w:hideMark/>
          </w:tcPr>
          <w:p w14:paraId="2261FC2E" w14:textId="77777777" w:rsidR="00F74B87" w:rsidRPr="00F74B87" w:rsidRDefault="00F74B87" w:rsidP="00F74B87">
            <w:pPr>
              <w:jc w:val="both"/>
              <w:rPr>
                <w:rFonts w:eastAsia="Times New Roman" w:cs="Calibri"/>
                <w:color w:val="000000"/>
                <w:sz w:val="20"/>
                <w:szCs w:val="20"/>
                <w:lang w:val="en-US"/>
              </w:rPr>
            </w:pPr>
            <w:r w:rsidRPr="00F74B87">
              <w:rPr>
                <w:rFonts w:eastAsia="Times New Roman" w:cs="Calibri"/>
                <w:color w:val="000000"/>
                <w:sz w:val="20"/>
                <w:szCs w:val="20"/>
                <w:lang w:val="en-US"/>
              </w:rPr>
              <w:t>Първични прегледи по РЗОК</w:t>
            </w:r>
          </w:p>
        </w:tc>
        <w:tc>
          <w:tcPr>
            <w:tcW w:w="992" w:type="dxa"/>
            <w:tcBorders>
              <w:top w:val="nil"/>
              <w:left w:val="nil"/>
              <w:bottom w:val="single" w:sz="8" w:space="0" w:color="E26B0A"/>
              <w:right w:val="single" w:sz="8" w:space="0" w:color="E26B0A"/>
            </w:tcBorders>
            <w:shd w:val="clear" w:color="000000" w:fill="FDE9D9"/>
            <w:hideMark/>
          </w:tcPr>
          <w:p w14:paraId="24142277" w14:textId="77777777" w:rsidR="00F74B87" w:rsidRPr="00F74B87" w:rsidRDefault="00F74B87" w:rsidP="00F74B87">
            <w:pPr>
              <w:jc w:val="right"/>
              <w:rPr>
                <w:rFonts w:eastAsia="Times New Roman" w:cs="Calibri"/>
                <w:sz w:val="20"/>
                <w:szCs w:val="20"/>
                <w:lang w:val="en-US"/>
              </w:rPr>
            </w:pPr>
            <w:r w:rsidRPr="00F74B87">
              <w:rPr>
                <w:rFonts w:eastAsia="Times New Roman" w:cs="Calibri"/>
                <w:sz w:val="20"/>
                <w:szCs w:val="20"/>
                <w:lang w:val="en-US"/>
              </w:rPr>
              <w:t>22 505</w:t>
            </w:r>
          </w:p>
        </w:tc>
        <w:tc>
          <w:tcPr>
            <w:tcW w:w="1276" w:type="dxa"/>
            <w:tcBorders>
              <w:top w:val="nil"/>
              <w:left w:val="nil"/>
              <w:bottom w:val="single" w:sz="8" w:space="0" w:color="E26B0A"/>
              <w:right w:val="single" w:sz="8" w:space="0" w:color="E26B0A"/>
            </w:tcBorders>
            <w:shd w:val="clear" w:color="000000" w:fill="FDE9D9"/>
            <w:hideMark/>
          </w:tcPr>
          <w:p w14:paraId="337AFA16" w14:textId="77777777" w:rsidR="00F74B87" w:rsidRPr="00F74B87" w:rsidRDefault="00F74B87" w:rsidP="00F74B87">
            <w:pPr>
              <w:jc w:val="right"/>
              <w:rPr>
                <w:rFonts w:eastAsia="Times New Roman" w:cs="Calibri"/>
                <w:sz w:val="20"/>
                <w:szCs w:val="20"/>
                <w:lang w:val="en-US"/>
              </w:rPr>
            </w:pPr>
            <w:r w:rsidRPr="00F74B87">
              <w:rPr>
                <w:rFonts w:eastAsia="Times New Roman" w:cs="Calibri"/>
                <w:sz w:val="20"/>
                <w:szCs w:val="20"/>
                <w:lang w:val="en-US"/>
              </w:rPr>
              <w:t>20 657</w:t>
            </w:r>
          </w:p>
        </w:tc>
        <w:tc>
          <w:tcPr>
            <w:tcW w:w="1418" w:type="dxa"/>
            <w:tcBorders>
              <w:top w:val="nil"/>
              <w:left w:val="nil"/>
              <w:bottom w:val="single" w:sz="8" w:space="0" w:color="E26B0A"/>
              <w:right w:val="single" w:sz="8" w:space="0" w:color="E26B0A"/>
            </w:tcBorders>
            <w:shd w:val="clear" w:color="000000" w:fill="FDE9D9"/>
            <w:hideMark/>
          </w:tcPr>
          <w:p w14:paraId="0FD8E314" w14:textId="77777777" w:rsidR="00F74B87" w:rsidRPr="00F74B87" w:rsidRDefault="00F74B87" w:rsidP="00F74B87">
            <w:pPr>
              <w:jc w:val="center"/>
              <w:rPr>
                <w:rFonts w:eastAsia="Times New Roman" w:cs="Calibri"/>
                <w:sz w:val="20"/>
                <w:szCs w:val="20"/>
                <w:lang w:val="en-US"/>
              </w:rPr>
            </w:pPr>
            <w:r w:rsidRPr="00F74B87">
              <w:rPr>
                <w:rFonts w:eastAsia="Times New Roman" w:cs="Calibri"/>
                <w:sz w:val="20"/>
                <w:szCs w:val="20"/>
                <w:lang w:val="en-US"/>
              </w:rPr>
              <w:t>9%</w:t>
            </w:r>
          </w:p>
        </w:tc>
      </w:tr>
      <w:tr w:rsidR="00F74B87" w:rsidRPr="00F74B87" w14:paraId="51956143" w14:textId="77777777" w:rsidTr="00F74B87">
        <w:trPr>
          <w:trHeight w:val="288"/>
        </w:trPr>
        <w:tc>
          <w:tcPr>
            <w:tcW w:w="4668" w:type="dxa"/>
            <w:tcBorders>
              <w:top w:val="nil"/>
              <w:left w:val="single" w:sz="8" w:space="0" w:color="E26B0A"/>
              <w:bottom w:val="single" w:sz="8" w:space="0" w:color="E26B0A"/>
              <w:right w:val="single" w:sz="8" w:space="0" w:color="E26B0A"/>
            </w:tcBorders>
            <w:shd w:val="clear" w:color="000000" w:fill="FDE9D9"/>
            <w:noWrap/>
            <w:vAlign w:val="center"/>
            <w:hideMark/>
          </w:tcPr>
          <w:p w14:paraId="34E1D066" w14:textId="77777777" w:rsidR="00F74B87" w:rsidRPr="00F74B87" w:rsidRDefault="00F74B87" w:rsidP="00F74B87">
            <w:pPr>
              <w:jc w:val="both"/>
              <w:rPr>
                <w:rFonts w:eastAsia="Times New Roman" w:cs="Calibri"/>
                <w:color w:val="000000"/>
                <w:sz w:val="20"/>
                <w:szCs w:val="20"/>
                <w:lang w:val="en-US"/>
              </w:rPr>
            </w:pPr>
            <w:r w:rsidRPr="00F74B87">
              <w:rPr>
                <w:rFonts w:eastAsia="Times New Roman" w:cs="Calibri"/>
                <w:color w:val="000000"/>
                <w:sz w:val="20"/>
                <w:szCs w:val="20"/>
                <w:lang w:val="en-US"/>
              </w:rPr>
              <w:t>Вторични прегледи по РЗОК</w:t>
            </w:r>
          </w:p>
        </w:tc>
        <w:tc>
          <w:tcPr>
            <w:tcW w:w="992" w:type="dxa"/>
            <w:tcBorders>
              <w:top w:val="nil"/>
              <w:left w:val="nil"/>
              <w:bottom w:val="single" w:sz="8" w:space="0" w:color="E26B0A"/>
              <w:right w:val="single" w:sz="8" w:space="0" w:color="E26B0A"/>
            </w:tcBorders>
            <w:shd w:val="clear" w:color="000000" w:fill="FDE9D9"/>
            <w:hideMark/>
          </w:tcPr>
          <w:p w14:paraId="5604B298" w14:textId="77777777" w:rsidR="00F74B87" w:rsidRPr="00F74B87" w:rsidRDefault="00F74B87" w:rsidP="00F74B87">
            <w:pPr>
              <w:jc w:val="right"/>
              <w:rPr>
                <w:rFonts w:eastAsia="Times New Roman" w:cs="Calibri"/>
                <w:sz w:val="20"/>
                <w:szCs w:val="20"/>
                <w:lang w:val="en-US"/>
              </w:rPr>
            </w:pPr>
            <w:r w:rsidRPr="00F74B87">
              <w:rPr>
                <w:rFonts w:eastAsia="Times New Roman" w:cs="Calibri"/>
                <w:sz w:val="20"/>
                <w:szCs w:val="20"/>
                <w:lang w:val="en-US"/>
              </w:rPr>
              <w:t>11 451</w:t>
            </w:r>
          </w:p>
        </w:tc>
        <w:tc>
          <w:tcPr>
            <w:tcW w:w="1276" w:type="dxa"/>
            <w:tcBorders>
              <w:top w:val="nil"/>
              <w:left w:val="nil"/>
              <w:bottom w:val="single" w:sz="8" w:space="0" w:color="E26B0A"/>
              <w:right w:val="single" w:sz="8" w:space="0" w:color="E26B0A"/>
            </w:tcBorders>
            <w:shd w:val="clear" w:color="000000" w:fill="FDE9D9"/>
            <w:hideMark/>
          </w:tcPr>
          <w:p w14:paraId="0D444D62" w14:textId="77777777" w:rsidR="00F74B87" w:rsidRPr="00F74B87" w:rsidRDefault="00F74B87" w:rsidP="00F74B87">
            <w:pPr>
              <w:jc w:val="right"/>
              <w:rPr>
                <w:rFonts w:eastAsia="Times New Roman" w:cs="Calibri"/>
                <w:sz w:val="20"/>
                <w:szCs w:val="20"/>
                <w:lang w:val="en-US"/>
              </w:rPr>
            </w:pPr>
            <w:r w:rsidRPr="00F74B87">
              <w:rPr>
                <w:rFonts w:eastAsia="Times New Roman" w:cs="Calibri"/>
                <w:sz w:val="20"/>
                <w:szCs w:val="20"/>
                <w:lang w:val="en-US"/>
              </w:rPr>
              <w:t>10 568</w:t>
            </w:r>
          </w:p>
        </w:tc>
        <w:tc>
          <w:tcPr>
            <w:tcW w:w="1418" w:type="dxa"/>
            <w:tcBorders>
              <w:top w:val="nil"/>
              <w:left w:val="nil"/>
              <w:bottom w:val="single" w:sz="8" w:space="0" w:color="E26B0A"/>
              <w:right w:val="single" w:sz="8" w:space="0" w:color="E26B0A"/>
            </w:tcBorders>
            <w:shd w:val="clear" w:color="000000" w:fill="FDE9D9"/>
            <w:hideMark/>
          </w:tcPr>
          <w:p w14:paraId="10596C1D" w14:textId="77777777" w:rsidR="00F74B87" w:rsidRPr="00F74B87" w:rsidRDefault="00F74B87" w:rsidP="00F74B87">
            <w:pPr>
              <w:jc w:val="center"/>
              <w:rPr>
                <w:rFonts w:eastAsia="Times New Roman" w:cs="Calibri"/>
                <w:sz w:val="20"/>
                <w:szCs w:val="20"/>
                <w:lang w:val="en-US"/>
              </w:rPr>
            </w:pPr>
            <w:r w:rsidRPr="00F74B87">
              <w:rPr>
                <w:rFonts w:eastAsia="Times New Roman" w:cs="Calibri"/>
                <w:sz w:val="20"/>
                <w:szCs w:val="20"/>
                <w:lang w:val="en-US"/>
              </w:rPr>
              <w:t>8%</w:t>
            </w:r>
          </w:p>
        </w:tc>
      </w:tr>
      <w:tr w:rsidR="00F74B87" w:rsidRPr="00F74B87" w14:paraId="0919E742" w14:textId="77777777" w:rsidTr="00F74B87">
        <w:trPr>
          <w:trHeight w:val="288"/>
        </w:trPr>
        <w:tc>
          <w:tcPr>
            <w:tcW w:w="4668" w:type="dxa"/>
            <w:tcBorders>
              <w:top w:val="nil"/>
              <w:left w:val="single" w:sz="8" w:space="0" w:color="E26B0A"/>
              <w:bottom w:val="single" w:sz="8" w:space="0" w:color="E26B0A"/>
              <w:right w:val="single" w:sz="8" w:space="0" w:color="E26B0A"/>
            </w:tcBorders>
            <w:shd w:val="clear" w:color="000000" w:fill="FDE9D9"/>
            <w:noWrap/>
            <w:vAlign w:val="center"/>
            <w:hideMark/>
          </w:tcPr>
          <w:p w14:paraId="6AC1212D" w14:textId="77777777" w:rsidR="00F74B87" w:rsidRPr="00F74B87" w:rsidRDefault="00F74B87" w:rsidP="00F74B87">
            <w:pPr>
              <w:jc w:val="both"/>
              <w:rPr>
                <w:rFonts w:eastAsia="Times New Roman" w:cs="Calibri"/>
                <w:color w:val="000000"/>
                <w:sz w:val="20"/>
                <w:szCs w:val="20"/>
                <w:lang w:val="en-US"/>
              </w:rPr>
            </w:pPr>
            <w:r w:rsidRPr="00F74B87">
              <w:rPr>
                <w:rFonts w:eastAsia="Times New Roman" w:cs="Calibri"/>
                <w:color w:val="000000"/>
                <w:sz w:val="20"/>
                <w:szCs w:val="20"/>
                <w:lang w:val="en-US"/>
              </w:rPr>
              <w:t>Профилактика</w:t>
            </w:r>
          </w:p>
        </w:tc>
        <w:tc>
          <w:tcPr>
            <w:tcW w:w="992" w:type="dxa"/>
            <w:tcBorders>
              <w:top w:val="nil"/>
              <w:left w:val="nil"/>
              <w:bottom w:val="single" w:sz="8" w:space="0" w:color="E26B0A"/>
              <w:right w:val="single" w:sz="8" w:space="0" w:color="E26B0A"/>
            </w:tcBorders>
            <w:shd w:val="clear" w:color="000000" w:fill="FDE9D9"/>
            <w:hideMark/>
          </w:tcPr>
          <w:p w14:paraId="0E22B363" w14:textId="77777777" w:rsidR="00F74B87" w:rsidRPr="00F74B87" w:rsidRDefault="00F74B87" w:rsidP="00F74B87">
            <w:pPr>
              <w:jc w:val="right"/>
              <w:rPr>
                <w:rFonts w:eastAsia="Times New Roman" w:cs="Calibri"/>
                <w:sz w:val="20"/>
                <w:szCs w:val="20"/>
                <w:lang w:val="en-US"/>
              </w:rPr>
            </w:pPr>
            <w:r w:rsidRPr="00F74B87">
              <w:rPr>
                <w:rFonts w:eastAsia="Times New Roman" w:cs="Calibri"/>
                <w:sz w:val="20"/>
                <w:szCs w:val="20"/>
                <w:lang w:val="en-US"/>
              </w:rPr>
              <w:t>2 474</w:t>
            </w:r>
          </w:p>
        </w:tc>
        <w:tc>
          <w:tcPr>
            <w:tcW w:w="1276" w:type="dxa"/>
            <w:tcBorders>
              <w:top w:val="nil"/>
              <w:left w:val="nil"/>
              <w:bottom w:val="single" w:sz="8" w:space="0" w:color="E26B0A"/>
              <w:right w:val="single" w:sz="8" w:space="0" w:color="E26B0A"/>
            </w:tcBorders>
            <w:shd w:val="clear" w:color="000000" w:fill="FDE9D9"/>
            <w:hideMark/>
          </w:tcPr>
          <w:p w14:paraId="64488FFD" w14:textId="77777777" w:rsidR="00F74B87" w:rsidRPr="00F74B87" w:rsidRDefault="00F74B87" w:rsidP="00F74B87">
            <w:pPr>
              <w:jc w:val="right"/>
              <w:rPr>
                <w:rFonts w:eastAsia="Times New Roman" w:cs="Calibri"/>
                <w:sz w:val="20"/>
                <w:szCs w:val="20"/>
                <w:lang w:val="en-US"/>
              </w:rPr>
            </w:pPr>
            <w:r w:rsidRPr="00F74B87">
              <w:rPr>
                <w:rFonts w:eastAsia="Times New Roman" w:cs="Calibri"/>
                <w:sz w:val="20"/>
                <w:szCs w:val="20"/>
                <w:lang w:val="en-US"/>
              </w:rPr>
              <w:t>2 099</w:t>
            </w:r>
          </w:p>
        </w:tc>
        <w:tc>
          <w:tcPr>
            <w:tcW w:w="1418" w:type="dxa"/>
            <w:tcBorders>
              <w:top w:val="nil"/>
              <w:left w:val="nil"/>
              <w:bottom w:val="single" w:sz="8" w:space="0" w:color="E26B0A"/>
              <w:right w:val="single" w:sz="8" w:space="0" w:color="E26B0A"/>
            </w:tcBorders>
            <w:shd w:val="clear" w:color="000000" w:fill="FDE9D9"/>
            <w:hideMark/>
          </w:tcPr>
          <w:p w14:paraId="4EC8D17F" w14:textId="77777777" w:rsidR="00F74B87" w:rsidRPr="00F74B87" w:rsidRDefault="00F74B87" w:rsidP="00F74B87">
            <w:pPr>
              <w:jc w:val="center"/>
              <w:rPr>
                <w:rFonts w:eastAsia="Times New Roman" w:cs="Calibri"/>
                <w:sz w:val="20"/>
                <w:szCs w:val="20"/>
                <w:lang w:val="en-US"/>
              </w:rPr>
            </w:pPr>
            <w:r w:rsidRPr="00F74B87">
              <w:rPr>
                <w:rFonts w:eastAsia="Times New Roman" w:cs="Calibri"/>
                <w:sz w:val="20"/>
                <w:szCs w:val="20"/>
                <w:lang w:val="en-US"/>
              </w:rPr>
              <w:t>18%</w:t>
            </w:r>
          </w:p>
        </w:tc>
      </w:tr>
      <w:tr w:rsidR="00F74B87" w:rsidRPr="00F74B87" w14:paraId="0798D824" w14:textId="77777777" w:rsidTr="00F74B87">
        <w:trPr>
          <w:trHeight w:val="288"/>
        </w:trPr>
        <w:tc>
          <w:tcPr>
            <w:tcW w:w="4668" w:type="dxa"/>
            <w:tcBorders>
              <w:top w:val="nil"/>
              <w:left w:val="single" w:sz="8" w:space="0" w:color="E26B0A"/>
              <w:bottom w:val="single" w:sz="8" w:space="0" w:color="E26B0A"/>
              <w:right w:val="single" w:sz="8" w:space="0" w:color="E26B0A"/>
            </w:tcBorders>
            <w:shd w:val="clear" w:color="000000" w:fill="FDE9D9"/>
            <w:noWrap/>
            <w:vAlign w:val="center"/>
            <w:hideMark/>
          </w:tcPr>
          <w:p w14:paraId="41C97497" w14:textId="77777777" w:rsidR="00F74B87" w:rsidRPr="00F74B87" w:rsidRDefault="00F74B87" w:rsidP="00F74B87">
            <w:pPr>
              <w:jc w:val="both"/>
              <w:rPr>
                <w:rFonts w:eastAsia="Times New Roman" w:cs="Calibri"/>
                <w:color w:val="000000"/>
                <w:sz w:val="20"/>
                <w:szCs w:val="20"/>
                <w:lang w:val="en-US"/>
              </w:rPr>
            </w:pPr>
            <w:r w:rsidRPr="00F74B87">
              <w:rPr>
                <w:rFonts w:eastAsia="Times New Roman" w:cs="Calibri"/>
                <w:color w:val="000000"/>
                <w:sz w:val="20"/>
                <w:szCs w:val="20"/>
                <w:lang w:val="en-US"/>
              </w:rPr>
              <w:lastRenderedPageBreak/>
              <w:t>Високоспециализирана мед.дейност</w:t>
            </w:r>
          </w:p>
        </w:tc>
        <w:tc>
          <w:tcPr>
            <w:tcW w:w="992" w:type="dxa"/>
            <w:tcBorders>
              <w:top w:val="nil"/>
              <w:left w:val="nil"/>
              <w:bottom w:val="single" w:sz="8" w:space="0" w:color="E26B0A"/>
              <w:right w:val="single" w:sz="8" w:space="0" w:color="E26B0A"/>
            </w:tcBorders>
            <w:shd w:val="clear" w:color="000000" w:fill="FDE9D9"/>
            <w:hideMark/>
          </w:tcPr>
          <w:p w14:paraId="688AA5BC" w14:textId="77777777" w:rsidR="00F74B87" w:rsidRPr="00F74B87" w:rsidRDefault="00F74B87" w:rsidP="00F74B87">
            <w:pPr>
              <w:jc w:val="right"/>
              <w:rPr>
                <w:rFonts w:eastAsia="Times New Roman" w:cs="Calibri"/>
                <w:sz w:val="20"/>
                <w:szCs w:val="20"/>
                <w:lang w:val="en-US"/>
              </w:rPr>
            </w:pPr>
            <w:r w:rsidRPr="00F74B87">
              <w:rPr>
                <w:rFonts w:eastAsia="Times New Roman" w:cs="Calibri"/>
                <w:sz w:val="20"/>
                <w:szCs w:val="20"/>
                <w:lang w:val="en-US"/>
              </w:rPr>
              <w:t>2 910</w:t>
            </w:r>
          </w:p>
        </w:tc>
        <w:tc>
          <w:tcPr>
            <w:tcW w:w="1276" w:type="dxa"/>
            <w:tcBorders>
              <w:top w:val="nil"/>
              <w:left w:val="nil"/>
              <w:bottom w:val="single" w:sz="8" w:space="0" w:color="E26B0A"/>
              <w:right w:val="single" w:sz="8" w:space="0" w:color="E26B0A"/>
            </w:tcBorders>
            <w:shd w:val="clear" w:color="000000" w:fill="FDE9D9"/>
            <w:hideMark/>
          </w:tcPr>
          <w:p w14:paraId="2A05182E" w14:textId="77777777" w:rsidR="00F74B87" w:rsidRPr="00F74B87" w:rsidRDefault="00F74B87" w:rsidP="00F74B87">
            <w:pPr>
              <w:jc w:val="right"/>
              <w:rPr>
                <w:rFonts w:eastAsia="Times New Roman" w:cs="Calibri"/>
                <w:sz w:val="20"/>
                <w:szCs w:val="20"/>
                <w:lang w:val="en-US"/>
              </w:rPr>
            </w:pPr>
            <w:r w:rsidRPr="00F74B87">
              <w:rPr>
                <w:rFonts w:eastAsia="Times New Roman" w:cs="Calibri"/>
                <w:sz w:val="20"/>
                <w:szCs w:val="20"/>
                <w:lang w:val="en-US"/>
              </w:rPr>
              <w:t>2 909</w:t>
            </w:r>
          </w:p>
        </w:tc>
        <w:tc>
          <w:tcPr>
            <w:tcW w:w="1418" w:type="dxa"/>
            <w:tcBorders>
              <w:top w:val="nil"/>
              <w:left w:val="nil"/>
              <w:bottom w:val="single" w:sz="8" w:space="0" w:color="E26B0A"/>
              <w:right w:val="single" w:sz="8" w:space="0" w:color="E26B0A"/>
            </w:tcBorders>
            <w:shd w:val="clear" w:color="000000" w:fill="FDE9D9"/>
            <w:hideMark/>
          </w:tcPr>
          <w:p w14:paraId="207D725B" w14:textId="77777777" w:rsidR="00F74B87" w:rsidRPr="00F74B87" w:rsidRDefault="00F74B87" w:rsidP="00F74B87">
            <w:pPr>
              <w:jc w:val="center"/>
              <w:rPr>
                <w:rFonts w:eastAsia="Times New Roman" w:cs="Calibri"/>
                <w:sz w:val="20"/>
                <w:szCs w:val="20"/>
                <w:lang w:val="en-US"/>
              </w:rPr>
            </w:pPr>
            <w:r w:rsidRPr="00F74B87">
              <w:rPr>
                <w:rFonts w:eastAsia="Times New Roman" w:cs="Calibri"/>
                <w:sz w:val="20"/>
                <w:szCs w:val="20"/>
                <w:lang w:val="en-US"/>
              </w:rPr>
              <w:t>0%</w:t>
            </w:r>
          </w:p>
        </w:tc>
      </w:tr>
      <w:tr w:rsidR="00F74B87" w:rsidRPr="00F74B87" w14:paraId="4F1D2384" w14:textId="77777777" w:rsidTr="00F74B87">
        <w:trPr>
          <w:trHeight w:val="288"/>
        </w:trPr>
        <w:tc>
          <w:tcPr>
            <w:tcW w:w="4668" w:type="dxa"/>
            <w:tcBorders>
              <w:top w:val="nil"/>
              <w:left w:val="single" w:sz="8" w:space="0" w:color="E26B0A"/>
              <w:bottom w:val="single" w:sz="8" w:space="0" w:color="E26B0A"/>
              <w:right w:val="single" w:sz="8" w:space="0" w:color="E26B0A"/>
            </w:tcBorders>
            <w:shd w:val="clear" w:color="000000" w:fill="FDE9D9"/>
            <w:noWrap/>
            <w:vAlign w:val="bottom"/>
            <w:hideMark/>
          </w:tcPr>
          <w:p w14:paraId="0DA890B5" w14:textId="77777777" w:rsidR="00F74B87" w:rsidRPr="00F74B87" w:rsidRDefault="00F74B87" w:rsidP="00F74B87">
            <w:pPr>
              <w:rPr>
                <w:rFonts w:eastAsia="Times New Roman" w:cs="Calibri"/>
                <w:sz w:val="20"/>
                <w:szCs w:val="20"/>
                <w:lang w:val="en-US"/>
              </w:rPr>
            </w:pPr>
            <w:r w:rsidRPr="00F74B87">
              <w:rPr>
                <w:rFonts w:eastAsia="Times New Roman" w:cs="Calibri"/>
                <w:sz w:val="20"/>
                <w:szCs w:val="20"/>
                <w:lang w:val="en-US"/>
              </w:rPr>
              <w:t>Платени прегледи</w:t>
            </w:r>
          </w:p>
        </w:tc>
        <w:tc>
          <w:tcPr>
            <w:tcW w:w="992" w:type="dxa"/>
            <w:tcBorders>
              <w:top w:val="nil"/>
              <w:left w:val="nil"/>
              <w:bottom w:val="single" w:sz="8" w:space="0" w:color="E26B0A"/>
              <w:right w:val="single" w:sz="8" w:space="0" w:color="E26B0A"/>
            </w:tcBorders>
            <w:shd w:val="clear" w:color="000000" w:fill="FDE9D9"/>
            <w:hideMark/>
          </w:tcPr>
          <w:p w14:paraId="16C42901" w14:textId="77777777" w:rsidR="00F74B87" w:rsidRPr="00F74B87" w:rsidRDefault="00F74B87" w:rsidP="00F74B87">
            <w:pPr>
              <w:jc w:val="right"/>
              <w:rPr>
                <w:rFonts w:eastAsia="Times New Roman" w:cs="Calibri"/>
                <w:sz w:val="20"/>
                <w:szCs w:val="20"/>
                <w:lang w:val="en-US"/>
              </w:rPr>
            </w:pPr>
            <w:r w:rsidRPr="00F74B87">
              <w:rPr>
                <w:rFonts w:eastAsia="Times New Roman" w:cs="Calibri"/>
                <w:sz w:val="20"/>
                <w:szCs w:val="20"/>
                <w:lang w:val="en-US"/>
              </w:rPr>
              <w:t>18 909</w:t>
            </w:r>
          </w:p>
        </w:tc>
        <w:tc>
          <w:tcPr>
            <w:tcW w:w="1276" w:type="dxa"/>
            <w:tcBorders>
              <w:top w:val="nil"/>
              <w:left w:val="nil"/>
              <w:bottom w:val="single" w:sz="8" w:space="0" w:color="E26B0A"/>
              <w:right w:val="single" w:sz="8" w:space="0" w:color="E26B0A"/>
            </w:tcBorders>
            <w:shd w:val="clear" w:color="000000" w:fill="FDE9D9"/>
            <w:hideMark/>
          </w:tcPr>
          <w:p w14:paraId="7E65B625" w14:textId="77777777" w:rsidR="00F74B87" w:rsidRPr="00F74B87" w:rsidRDefault="00F74B87" w:rsidP="00F74B87">
            <w:pPr>
              <w:jc w:val="right"/>
              <w:rPr>
                <w:rFonts w:eastAsia="Times New Roman" w:cs="Calibri"/>
                <w:sz w:val="20"/>
                <w:szCs w:val="20"/>
                <w:lang w:val="en-US"/>
              </w:rPr>
            </w:pPr>
            <w:r w:rsidRPr="00F74B87">
              <w:rPr>
                <w:rFonts w:eastAsia="Times New Roman" w:cs="Calibri"/>
                <w:sz w:val="20"/>
                <w:szCs w:val="20"/>
                <w:lang w:val="en-US"/>
              </w:rPr>
              <w:t>17 368</w:t>
            </w:r>
          </w:p>
        </w:tc>
        <w:tc>
          <w:tcPr>
            <w:tcW w:w="1418" w:type="dxa"/>
            <w:tcBorders>
              <w:top w:val="nil"/>
              <w:left w:val="nil"/>
              <w:bottom w:val="single" w:sz="8" w:space="0" w:color="E26B0A"/>
              <w:right w:val="single" w:sz="8" w:space="0" w:color="E26B0A"/>
            </w:tcBorders>
            <w:shd w:val="clear" w:color="000000" w:fill="FDE9D9"/>
            <w:hideMark/>
          </w:tcPr>
          <w:p w14:paraId="1F099EC8" w14:textId="77777777" w:rsidR="00F74B87" w:rsidRPr="00F74B87" w:rsidRDefault="00F74B87" w:rsidP="00F74B87">
            <w:pPr>
              <w:jc w:val="center"/>
              <w:rPr>
                <w:rFonts w:eastAsia="Times New Roman" w:cs="Calibri"/>
                <w:sz w:val="20"/>
                <w:szCs w:val="20"/>
                <w:lang w:val="en-US"/>
              </w:rPr>
            </w:pPr>
            <w:r w:rsidRPr="00F74B87">
              <w:rPr>
                <w:rFonts w:eastAsia="Times New Roman" w:cs="Calibri"/>
                <w:sz w:val="20"/>
                <w:szCs w:val="20"/>
                <w:lang w:val="en-US"/>
              </w:rPr>
              <w:t>9%</w:t>
            </w:r>
          </w:p>
        </w:tc>
      </w:tr>
    </w:tbl>
    <w:p w14:paraId="2A7A4BAD" w14:textId="77777777" w:rsidR="00684CB4" w:rsidRDefault="00684CB4" w:rsidP="00CB4269">
      <w:pPr>
        <w:tabs>
          <w:tab w:val="left" w:pos="0"/>
        </w:tabs>
        <w:ind w:right="114"/>
        <w:jc w:val="both"/>
        <w:rPr>
          <w:lang w:val="en-US"/>
        </w:rPr>
      </w:pPr>
    </w:p>
    <w:p w14:paraId="0B01AB60" w14:textId="48EFA027" w:rsidR="00D169BE" w:rsidRDefault="00D169BE" w:rsidP="00D169BE">
      <w:pPr>
        <w:tabs>
          <w:tab w:val="left" w:pos="0"/>
        </w:tabs>
        <w:ind w:right="114"/>
        <w:jc w:val="both"/>
        <w:rPr>
          <w:lang w:val="en-US"/>
        </w:rPr>
      </w:pPr>
      <w:r>
        <w:t xml:space="preserve">Относителният дял на реализираните  услуги в приходите от продажби на дружеството за </w:t>
      </w:r>
      <w:r w:rsidR="00487716">
        <w:t>2021</w:t>
      </w:r>
      <w:r>
        <w:t xml:space="preserve"> г. и неговото изменение спрямо </w:t>
      </w:r>
      <w:r w:rsidR="00487716">
        <w:t>2020</w:t>
      </w:r>
      <w:r w:rsidRPr="006623F6">
        <w:t xml:space="preserve"> г. </w:t>
      </w:r>
      <w:r>
        <w:t>(</w:t>
      </w:r>
      <w:r w:rsidRPr="0074615C">
        <w:rPr>
          <w:b/>
        </w:rPr>
        <w:t>съгл. т.1 от Приложение</w:t>
      </w:r>
      <w:r>
        <w:rPr>
          <w:b/>
        </w:rPr>
        <w:t xml:space="preserve"> № </w:t>
      </w:r>
      <w:r w:rsidR="00E7012F">
        <w:rPr>
          <w:b/>
        </w:rPr>
        <w:t>2</w:t>
      </w:r>
      <w:r>
        <w:t>) е</w:t>
      </w:r>
      <w:r w:rsidRPr="006623F6">
        <w:t xml:space="preserve"> както следва:</w:t>
      </w:r>
    </w:p>
    <w:tbl>
      <w:tblPr>
        <w:tblW w:w="8558" w:type="dxa"/>
        <w:tblLook w:val="04A0" w:firstRow="1" w:lastRow="0" w:firstColumn="1" w:lastColumn="0" w:noHBand="0" w:noVBand="1"/>
      </w:tblPr>
      <w:tblGrid>
        <w:gridCol w:w="5387"/>
        <w:gridCol w:w="992"/>
        <w:gridCol w:w="992"/>
        <w:gridCol w:w="1187"/>
      </w:tblGrid>
      <w:tr w:rsidR="001D4C12" w:rsidRPr="001D4C12" w14:paraId="7BBAAA90" w14:textId="77777777" w:rsidTr="00523AD2">
        <w:trPr>
          <w:trHeight w:val="288"/>
        </w:trPr>
        <w:tc>
          <w:tcPr>
            <w:tcW w:w="5387" w:type="dxa"/>
            <w:tcBorders>
              <w:top w:val="nil"/>
              <w:left w:val="nil"/>
              <w:bottom w:val="nil"/>
              <w:right w:val="nil"/>
            </w:tcBorders>
            <w:shd w:val="clear" w:color="auto" w:fill="auto"/>
            <w:noWrap/>
            <w:vAlign w:val="bottom"/>
            <w:hideMark/>
          </w:tcPr>
          <w:p w14:paraId="28A107FD" w14:textId="77777777" w:rsidR="001D4C12" w:rsidRPr="001D4C12" w:rsidRDefault="001D4C12" w:rsidP="001D4C12">
            <w:pPr>
              <w:rPr>
                <w:rFonts w:ascii="Times New Roman" w:eastAsia="Times New Roman" w:hAnsi="Times New Roman"/>
                <w:sz w:val="20"/>
                <w:szCs w:val="20"/>
                <w:lang w:val="en-US"/>
              </w:rPr>
            </w:pPr>
          </w:p>
        </w:tc>
        <w:tc>
          <w:tcPr>
            <w:tcW w:w="992" w:type="dxa"/>
            <w:tcBorders>
              <w:top w:val="nil"/>
              <w:left w:val="nil"/>
              <w:bottom w:val="nil"/>
              <w:right w:val="nil"/>
            </w:tcBorders>
            <w:shd w:val="clear" w:color="auto" w:fill="auto"/>
            <w:noWrap/>
            <w:vAlign w:val="bottom"/>
            <w:hideMark/>
          </w:tcPr>
          <w:p w14:paraId="44BC3EF0" w14:textId="77777777" w:rsidR="001D4C12" w:rsidRPr="001D4C12" w:rsidRDefault="001D4C12" w:rsidP="001D4C12">
            <w:pPr>
              <w:rPr>
                <w:rFonts w:ascii="Times New Roman" w:eastAsia="Times New Roman" w:hAnsi="Times New Roman"/>
                <w:sz w:val="20"/>
                <w:szCs w:val="20"/>
                <w:lang w:val="en-US"/>
              </w:rPr>
            </w:pPr>
          </w:p>
        </w:tc>
        <w:tc>
          <w:tcPr>
            <w:tcW w:w="992" w:type="dxa"/>
            <w:tcBorders>
              <w:top w:val="nil"/>
              <w:left w:val="nil"/>
              <w:bottom w:val="nil"/>
              <w:right w:val="nil"/>
            </w:tcBorders>
            <w:shd w:val="clear" w:color="auto" w:fill="auto"/>
            <w:noWrap/>
            <w:vAlign w:val="bottom"/>
            <w:hideMark/>
          </w:tcPr>
          <w:p w14:paraId="04C768B7" w14:textId="77777777" w:rsidR="001D4C12" w:rsidRPr="001D4C12" w:rsidRDefault="001D4C12" w:rsidP="001D4C12">
            <w:pPr>
              <w:rPr>
                <w:rFonts w:ascii="Times New Roman" w:eastAsia="Times New Roman" w:hAnsi="Times New Roman"/>
                <w:sz w:val="20"/>
                <w:szCs w:val="20"/>
                <w:lang w:val="en-US"/>
              </w:rPr>
            </w:pPr>
          </w:p>
        </w:tc>
        <w:tc>
          <w:tcPr>
            <w:tcW w:w="1187" w:type="dxa"/>
            <w:tcBorders>
              <w:top w:val="nil"/>
              <w:left w:val="nil"/>
              <w:bottom w:val="nil"/>
              <w:right w:val="nil"/>
            </w:tcBorders>
            <w:shd w:val="clear" w:color="auto" w:fill="auto"/>
            <w:noWrap/>
            <w:vAlign w:val="bottom"/>
            <w:hideMark/>
          </w:tcPr>
          <w:p w14:paraId="7108DAB1" w14:textId="77777777" w:rsidR="001D4C12" w:rsidRPr="001D4C12" w:rsidRDefault="001D4C12" w:rsidP="001D4C12">
            <w:pPr>
              <w:jc w:val="right"/>
              <w:rPr>
                <w:rFonts w:eastAsia="Times New Roman" w:cs="Calibri"/>
                <w:sz w:val="20"/>
                <w:szCs w:val="20"/>
                <w:lang w:val="en-US"/>
              </w:rPr>
            </w:pPr>
            <w:r w:rsidRPr="001D4C12">
              <w:rPr>
                <w:rFonts w:eastAsia="Times New Roman" w:cs="Calibri"/>
                <w:sz w:val="20"/>
                <w:szCs w:val="20"/>
                <w:lang w:val="en-US"/>
              </w:rPr>
              <w:t>(%)</w:t>
            </w:r>
          </w:p>
        </w:tc>
      </w:tr>
      <w:tr w:rsidR="001D4C12" w:rsidRPr="001D4C12" w14:paraId="63BF9770" w14:textId="77777777" w:rsidTr="00523AD2">
        <w:trPr>
          <w:trHeight w:val="288"/>
        </w:trPr>
        <w:tc>
          <w:tcPr>
            <w:tcW w:w="8558" w:type="dxa"/>
            <w:gridSpan w:val="4"/>
            <w:tcBorders>
              <w:top w:val="single" w:sz="8" w:space="0" w:color="E26B0A"/>
              <w:left w:val="single" w:sz="8" w:space="0" w:color="E26B0A"/>
              <w:bottom w:val="single" w:sz="8" w:space="0" w:color="E26B0A"/>
              <w:right w:val="single" w:sz="8" w:space="0" w:color="E26B0A"/>
            </w:tcBorders>
            <w:shd w:val="clear" w:color="000000" w:fill="E26B0A"/>
            <w:hideMark/>
          </w:tcPr>
          <w:p w14:paraId="432E56AA" w14:textId="77777777" w:rsidR="001D4C12" w:rsidRPr="001D4C12" w:rsidRDefault="001D4C12" w:rsidP="001D4C12">
            <w:pPr>
              <w:jc w:val="center"/>
              <w:rPr>
                <w:rFonts w:eastAsia="Times New Roman" w:cs="Calibri"/>
                <w:b/>
                <w:bCs/>
                <w:color w:val="FFFFFF"/>
                <w:sz w:val="20"/>
                <w:szCs w:val="20"/>
                <w:lang w:val="en-US"/>
              </w:rPr>
            </w:pPr>
            <w:r w:rsidRPr="001D4C12">
              <w:rPr>
                <w:rFonts w:eastAsia="Times New Roman" w:cs="Calibri"/>
                <w:b/>
                <w:bCs/>
                <w:color w:val="FFFFFF"/>
                <w:sz w:val="20"/>
                <w:szCs w:val="20"/>
                <w:lang w:val="en-US"/>
              </w:rPr>
              <w:t>Относителен дял в приходите от продажби</w:t>
            </w:r>
          </w:p>
        </w:tc>
      </w:tr>
      <w:tr w:rsidR="001D4C12" w:rsidRPr="001D4C12" w14:paraId="42C87E5A" w14:textId="77777777" w:rsidTr="00523AD2">
        <w:trPr>
          <w:trHeight w:val="564"/>
        </w:trPr>
        <w:tc>
          <w:tcPr>
            <w:tcW w:w="5387" w:type="dxa"/>
            <w:tcBorders>
              <w:top w:val="nil"/>
              <w:left w:val="single" w:sz="8" w:space="0" w:color="E26B0A"/>
              <w:bottom w:val="nil"/>
              <w:right w:val="single" w:sz="8" w:space="0" w:color="E26B0A"/>
            </w:tcBorders>
            <w:shd w:val="clear" w:color="000000" w:fill="FABF8F"/>
            <w:vAlign w:val="center"/>
            <w:hideMark/>
          </w:tcPr>
          <w:p w14:paraId="4821A22B" w14:textId="77777777" w:rsidR="001D4C12" w:rsidRPr="001D4C12" w:rsidRDefault="001D4C12" w:rsidP="001D4C12">
            <w:pPr>
              <w:jc w:val="center"/>
              <w:rPr>
                <w:rFonts w:eastAsia="Times New Roman" w:cs="Calibri"/>
                <w:b/>
                <w:bCs/>
                <w:sz w:val="20"/>
                <w:szCs w:val="20"/>
                <w:lang w:val="en-US"/>
              </w:rPr>
            </w:pPr>
            <w:r w:rsidRPr="001D4C12">
              <w:rPr>
                <w:rFonts w:eastAsia="Times New Roman" w:cs="Calibri"/>
                <w:b/>
                <w:bCs/>
                <w:sz w:val="20"/>
                <w:szCs w:val="20"/>
                <w:lang w:val="en-US"/>
              </w:rPr>
              <w:t>по видове стоки/ продукти/услуги</w:t>
            </w:r>
          </w:p>
        </w:tc>
        <w:tc>
          <w:tcPr>
            <w:tcW w:w="992" w:type="dxa"/>
            <w:tcBorders>
              <w:top w:val="nil"/>
              <w:left w:val="nil"/>
              <w:bottom w:val="single" w:sz="8" w:space="0" w:color="E26B0A"/>
              <w:right w:val="single" w:sz="8" w:space="0" w:color="E26B0A"/>
            </w:tcBorders>
            <w:shd w:val="clear" w:color="000000" w:fill="FABF8F"/>
            <w:vAlign w:val="center"/>
            <w:hideMark/>
          </w:tcPr>
          <w:p w14:paraId="4D571679" w14:textId="77777777" w:rsidR="001D4C12" w:rsidRPr="001D4C12" w:rsidRDefault="001D4C12" w:rsidP="001D4C12">
            <w:pPr>
              <w:jc w:val="center"/>
              <w:rPr>
                <w:rFonts w:eastAsia="Times New Roman" w:cs="Calibri"/>
                <w:b/>
                <w:bCs/>
                <w:sz w:val="20"/>
                <w:szCs w:val="20"/>
                <w:lang w:val="en-US"/>
              </w:rPr>
            </w:pPr>
            <w:r w:rsidRPr="001D4C12">
              <w:rPr>
                <w:rFonts w:eastAsia="Times New Roman" w:cs="Calibri"/>
                <w:b/>
                <w:bCs/>
                <w:sz w:val="20"/>
                <w:szCs w:val="20"/>
                <w:lang w:val="en-US"/>
              </w:rPr>
              <w:t>2021</w:t>
            </w:r>
          </w:p>
        </w:tc>
        <w:tc>
          <w:tcPr>
            <w:tcW w:w="992" w:type="dxa"/>
            <w:tcBorders>
              <w:top w:val="nil"/>
              <w:left w:val="nil"/>
              <w:bottom w:val="single" w:sz="8" w:space="0" w:color="E26B0A"/>
              <w:right w:val="single" w:sz="8" w:space="0" w:color="E26B0A"/>
            </w:tcBorders>
            <w:shd w:val="clear" w:color="000000" w:fill="FABF8F"/>
            <w:vAlign w:val="center"/>
            <w:hideMark/>
          </w:tcPr>
          <w:p w14:paraId="21060B68" w14:textId="77777777" w:rsidR="001D4C12" w:rsidRPr="001D4C12" w:rsidRDefault="001D4C12" w:rsidP="001D4C12">
            <w:pPr>
              <w:jc w:val="center"/>
              <w:rPr>
                <w:rFonts w:eastAsia="Times New Roman" w:cs="Calibri"/>
                <w:b/>
                <w:bCs/>
                <w:sz w:val="20"/>
                <w:szCs w:val="20"/>
                <w:lang w:val="en-US"/>
              </w:rPr>
            </w:pPr>
            <w:r w:rsidRPr="001D4C12">
              <w:rPr>
                <w:rFonts w:eastAsia="Times New Roman" w:cs="Calibri"/>
                <w:b/>
                <w:bCs/>
                <w:sz w:val="20"/>
                <w:szCs w:val="20"/>
                <w:lang w:val="en-US"/>
              </w:rPr>
              <w:t>2020</w:t>
            </w:r>
          </w:p>
        </w:tc>
        <w:tc>
          <w:tcPr>
            <w:tcW w:w="1187" w:type="dxa"/>
            <w:tcBorders>
              <w:top w:val="nil"/>
              <w:left w:val="nil"/>
              <w:bottom w:val="single" w:sz="8" w:space="0" w:color="E26B0A"/>
              <w:right w:val="single" w:sz="8" w:space="0" w:color="E26B0A"/>
            </w:tcBorders>
            <w:shd w:val="clear" w:color="000000" w:fill="FABF8F"/>
            <w:vAlign w:val="center"/>
            <w:hideMark/>
          </w:tcPr>
          <w:p w14:paraId="7FF05A63" w14:textId="77777777" w:rsidR="001D4C12" w:rsidRPr="001D4C12" w:rsidRDefault="001D4C12" w:rsidP="001D4C12">
            <w:pPr>
              <w:jc w:val="center"/>
              <w:rPr>
                <w:rFonts w:eastAsia="Times New Roman" w:cs="Calibri"/>
                <w:b/>
                <w:bCs/>
                <w:sz w:val="20"/>
                <w:szCs w:val="20"/>
                <w:lang w:val="en-US"/>
              </w:rPr>
            </w:pPr>
            <w:r w:rsidRPr="001D4C12">
              <w:rPr>
                <w:rFonts w:eastAsia="Times New Roman" w:cs="Calibri"/>
                <w:b/>
                <w:bCs/>
                <w:sz w:val="20"/>
                <w:szCs w:val="20"/>
                <w:lang w:val="en-US"/>
              </w:rPr>
              <w:t>изменение %</w:t>
            </w:r>
          </w:p>
        </w:tc>
      </w:tr>
      <w:tr w:rsidR="001D4C12" w:rsidRPr="001D4C12" w14:paraId="60E75C11" w14:textId="77777777" w:rsidTr="00523AD2">
        <w:trPr>
          <w:trHeight w:val="288"/>
        </w:trPr>
        <w:tc>
          <w:tcPr>
            <w:tcW w:w="5387" w:type="dxa"/>
            <w:tcBorders>
              <w:top w:val="nil"/>
              <w:left w:val="single" w:sz="8" w:space="0" w:color="E26B0A"/>
              <w:bottom w:val="single" w:sz="8" w:space="0" w:color="E26B0A"/>
              <w:right w:val="single" w:sz="8" w:space="0" w:color="E26B0A"/>
            </w:tcBorders>
            <w:shd w:val="clear" w:color="000000" w:fill="FDE9D9"/>
            <w:noWrap/>
            <w:vAlign w:val="center"/>
            <w:hideMark/>
          </w:tcPr>
          <w:p w14:paraId="20A41C3D" w14:textId="77777777" w:rsidR="001D4C12" w:rsidRPr="001D4C12" w:rsidRDefault="001D4C12" w:rsidP="001D4C12">
            <w:pPr>
              <w:jc w:val="both"/>
              <w:rPr>
                <w:rFonts w:eastAsia="Times New Roman" w:cs="Calibri"/>
                <w:color w:val="000000"/>
                <w:sz w:val="20"/>
                <w:szCs w:val="20"/>
                <w:lang w:val="en-US"/>
              </w:rPr>
            </w:pPr>
            <w:r w:rsidRPr="001D4C12">
              <w:rPr>
                <w:rFonts w:eastAsia="Times New Roman" w:cs="Calibri"/>
                <w:color w:val="000000"/>
                <w:sz w:val="20"/>
                <w:szCs w:val="20"/>
              </w:rPr>
              <w:t xml:space="preserve">Приходи от медицински услуги </w:t>
            </w:r>
          </w:p>
        </w:tc>
        <w:tc>
          <w:tcPr>
            <w:tcW w:w="992" w:type="dxa"/>
            <w:tcBorders>
              <w:top w:val="nil"/>
              <w:left w:val="nil"/>
              <w:bottom w:val="single" w:sz="8" w:space="0" w:color="E26B0A"/>
              <w:right w:val="single" w:sz="8" w:space="0" w:color="E26B0A"/>
            </w:tcBorders>
            <w:shd w:val="clear" w:color="000000" w:fill="FDE9D9"/>
            <w:hideMark/>
          </w:tcPr>
          <w:p w14:paraId="52DC05F5" w14:textId="77777777" w:rsidR="001D4C12" w:rsidRPr="001D4C12" w:rsidRDefault="001D4C12" w:rsidP="001D4C12">
            <w:pPr>
              <w:jc w:val="right"/>
              <w:rPr>
                <w:rFonts w:eastAsia="Times New Roman" w:cs="Calibri"/>
                <w:sz w:val="20"/>
                <w:szCs w:val="20"/>
                <w:lang w:val="en-US"/>
              </w:rPr>
            </w:pPr>
            <w:r w:rsidRPr="001D4C12">
              <w:rPr>
                <w:rFonts w:eastAsia="Times New Roman" w:cs="Calibri"/>
                <w:sz w:val="20"/>
                <w:szCs w:val="20"/>
                <w:lang w:val="en-US"/>
              </w:rPr>
              <w:t>93,94</w:t>
            </w:r>
          </w:p>
        </w:tc>
        <w:tc>
          <w:tcPr>
            <w:tcW w:w="992" w:type="dxa"/>
            <w:tcBorders>
              <w:top w:val="nil"/>
              <w:left w:val="nil"/>
              <w:bottom w:val="single" w:sz="8" w:space="0" w:color="E26B0A"/>
              <w:right w:val="single" w:sz="8" w:space="0" w:color="E26B0A"/>
            </w:tcBorders>
            <w:shd w:val="clear" w:color="000000" w:fill="FDE9D9"/>
            <w:hideMark/>
          </w:tcPr>
          <w:p w14:paraId="5DDD71E0" w14:textId="77777777" w:rsidR="001D4C12" w:rsidRPr="001D4C12" w:rsidRDefault="001D4C12" w:rsidP="001D4C12">
            <w:pPr>
              <w:jc w:val="right"/>
              <w:rPr>
                <w:rFonts w:eastAsia="Times New Roman" w:cs="Calibri"/>
                <w:sz w:val="20"/>
                <w:szCs w:val="20"/>
                <w:lang w:val="en-US"/>
              </w:rPr>
            </w:pPr>
            <w:r w:rsidRPr="001D4C12">
              <w:rPr>
                <w:rFonts w:eastAsia="Times New Roman" w:cs="Calibri"/>
                <w:sz w:val="20"/>
                <w:szCs w:val="20"/>
                <w:lang w:val="en-US"/>
              </w:rPr>
              <w:t>92,18</w:t>
            </w:r>
          </w:p>
        </w:tc>
        <w:tc>
          <w:tcPr>
            <w:tcW w:w="1187" w:type="dxa"/>
            <w:tcBorders>
              <w:top w:val="nil"/>
              <w:left w:val="nil"/>
              <w:bottom w:val="single" w:sz="8" w:space="0" w:color="E26B0A"/>
              <w:right w:val="single" w:sz="8" w:space="0" w:color="E26B0A"/>
            </w:tcBorders>
            <w:shd w:val="clear" w:color="000000" w:fill="FDE9D9"/>
            <w:hideMark/>
          </w:tcPr>
          <w:p w14:paraId="13669178" w14:textId="77777777" w:rsidR="001D4C12" w:rsidRPr="001D4C12" w:rsidRDefault="001D4C12" w:rsidP="001D4C12">
            <w:pPr>
              <w:jc w:val="right"/>
              <w:rPr>
                <w:rFonts w:eastAsia="Times New Roman" w:cs="Calibri"/>
                <w:sz w:val="20"/>
                <w:szCs w:val="20"/>
                <w:lang w:val="en-US"/>
              </w:rPr>
            </w:pPr>
            <w:r w:rsidRPr="001D4C12">
              <w:rPr>
                <w:rFonts w:eastAsia="Times New Roman" w:cs="Calibri"/>
                <w:sz w:val="20"/>
                <w:szCs w:val="20"/>
                <w:lang w:val="en-US"/>
              </w:rPr>
              <w:t>102%</w:t>
            </w:r>
          </w:p>
        </w:tc>
      </w:tr>
      <w:tr w:rsidR="001D4C12" w:rsidRPr="001D4C12" w14:paraId="216569AC" w14:textId="77777777" w:rsidTr="00523AD2">
        <w:trPr>
          <w:trHeight w:val="288"/>
        </w:trPr>
        <w:tc>
          <w:tcPr>
            <w:tcW w:w="5387" w:type="dxa"/>
            <w:tcBorders>
              <w:top w:val="nil"/>
              <w:left w:val="single" w:sz="8" w:space="0" w:color="E26B0A"/>
              <w:bottom w:val="single" w:sz="8" w:space="0" w:color="E26B0A"/>
              <w:right w:val="single" w:sz="8" w:space="0" w:color="E26B0A"/>
            </w:tcBorders>
            <w:shd w:val="clear" w:color="000000" w:fill="FDE9D9"/>
            <w:noWrap/>
            <w:vAlign w:val="center"/>
            <w:hideMark/>
          </w:tcPr>
          <w:p w14:paraId="26C3F036" w14:textId="77777777" w:rsidR="001D4C12" w:rsidRPr="001D4C12" w:rsidRDefault="001D4C12" w:rsidP="001D4C12">
            <w:pPr>
              <w:jc w:val="both"/>
              <w:rPr>
                <w:rFonts w:eastAsia="Times New Roman" w:cs="Calibri"/>
                <w:color w:val="000000"/>
                <w:sz w:val="20"/>
                <w:szCs w:val="20"/>
                <w:lang w:val="en-US"/>
              </w:rPr>
            </w:pPr>
            <w:r w:rsidRPr="001D4C12">
              <w:rPr>
                <w:rFonts w:eastAsia="Times New Roman" w:cs="Calibri"/>
                <w:color w:val="000000"/>
                <w:sz w:val="20"/>
                <w:szCs w:val="20"/>
              </w:rPr>
              <w:t xml:space="preserve">Наеми </w:t>
            </w:r>
          </w:p>
        </w:tc>
        <w:tc>
          <w:tcPr>
            <w:tcW w:w="992" w:type="dxa"/>
            <w:tcBorders>
              <w:top w:val="nil"/>
              <w:left w:val="nil"/>
              <w:bottom w:val="single" w:sz="8" w:space="0" w:color="E26B0A"/>
              <w:right w:val="single" w:sz="8" w:space="0" w:color="E26B0A"/>
            </w:tcBorders>
            <w:shd w:val="clear" w:color="000000" w:fill="FDE9D9"/>
            <w:hideMark/>
          </w:tcPr>
          <w:p w14:paraId="45E32102" w14:textId="77777777" w:rsidR="001D4C12" w:rsidRPr="001D4C12" w:rsidRDefault="001D4C12" w:rsidP="001D4C12">
            <w:pPr>
              <w:jc w:val="right"/>
              <w:rPr>
                <w:rFonts w:eastAsia="Times New Roman" w:cs="Calibri"/>
                <w:sz w:val="20"/>
                <w:szCs w:val="20"/>
                <w:lang w:val="en-US"/>
              </w:rPr>
            </w:pPr>
            <w:r w:rsidRPr="001D4C12">
              <w:rPr>
                <w:rFonts w:eastAsia="Times New Roman" w:cs="Calibri"/>
                <w:sz w:val="20"/>
                <w:szCs w:val="20"/>
                <w:lang w:val="en-US"/>
              </w:rPr>
              <w:t>3,49</w:t>
            </w:r>
          </w:p>
        </w:tc>
        <w:tc>
          <w:tcPr>
            <w:tcW w:w="992" w:type="dxa"/>
            <w:tcBorders>
              <w:top w:val="nil"/>
              <w:left w:val="nil"/>
              <w:bottom w:val="single" w:sz="8" w:space="0" w:color="E26B0A"/>
              <w:right w:val="single" w:sz="8" w:space="0" w:color="E26B0A"/>
            </w:tcBorders>
            <w:shd w:val="clear" w:color="000000" w:fill="FDE9D9"/>
            <w:hideMark/>
          </w:tcPr>
          <w:p w14:paraId="357617F4" w14:textId="77777777" w:rsidR="001D4C12" w:rsidRPr="001D4C12" w:rsidRDefault="001D4C12" w:rsidP="001D4C12">
            <w:pPr>
              <w:jc w:val="right"/>
              <w:rPr>
                <w:rFonts w:eastAsia="Times New Roman" w:cs="Calibri"/>
                <w:sz w:val="20"/>
                <w:szCs w:val="20"/>
                <w:lang w:val="en-US"/>
              </w:rPr>
            </w:pPr>
            <w:r w:rsidRPr="001D4C12">
              <w:rPr>
                <w:rFonts w:eastAsia="Times New Roman" w:cs="Calibri"/>
                <w:sz w:val="20"/>
                <w:szCs w:val="20"/>
                <w:lang w:val="en-US"/>
              </w:rPr>
              <w:t>4,41</w:t>
            </w:r>
          </w:p>
        </w:tc>
        <w:tc>
          <w:tcPr>
            <w:tcW w:w="1187" w:type="dxa"/>
            <w:tcBorders>
              <w:top w:val="nil"/>
              <w:left w:val="nil"/>
              <w:bottom w:val="single" w:sz="8" w:space="0" w:color="E26B0A"/>
              <w:right w:val="single" w:sz="8" w:space="0" w:color="E26B0A"/>
            </w:tcBorders>
            <w:shd w:val="clear" w:color="000000" w:fill="FDE9D9"/>
            <w:hideMark/>
          </w:tcPr>
          <w:p w14:paraId="0E81B765" w14:textId="77777777" w:rsidR="001D4C12" w:rsidRPr="001D4C12" w:rsidRDefault="001D4C12" w:rsidP="001D4C12">
            <w:pPr>
              <w:jc w:val="right"/>
              <w:rPr>
                <w:rFonts w:eastAsia="Times New Roman" w:cs="Calibri"/>
                <w:sz w:val="20"/>
                <w:szCs w:val="20"/>
                <w:lang w:val="en-US"/>
              </w:rPr>
            </w:pPr>
            <w:r w:rsidRPr="001D4C12">
              <w:rPr>
                <w:rFonts w:eastAsia="Times New Roman" w:cs="Calibri"/>
                <w:sz w:val="20"/>
                <w:szCs w:val="20"/>
                <w:lang w:val="en-US"/>
              </w:rPr>
              <w:t>79%</w:t>
            </w:r>
          </w:p>
        </w:tc>
      </w:tr>
      <w:tr w:rsidR="001D4C12" w:rsidRPr="001D4C12" w14:paraId="409D2438" w14:textId="77777777" w:rsidTr="00523AD2">
        <w:trPr>
          <w:trHeight w:val="288"/>
        </w:trPr>
        <w:tc>
          <w:tcPr>
            <w:tcW w:w="5387" w:type="dxa"/>
            <w:tcBorders>
              <w:top w:val="nil"/>
              <w:left w:val="single" w:sz="8" w:space="0" w:color="E26B0A"/>
              <w:bottom w:val="single" w:sz="8" w:space="0" w:color="E26B0A"/>
              <w:right w:val="single" w:sz="8" w:space="0" w:color="E26B0A"/>
            </w:tcBorders>
            <w:shd w:val="clear" w:color="000000" w:fill="FDE9D9"/>
            <w:noWrap/>
            <w:vAlign w:val="center"/>
            <w:hideMark/>
          </w:tcPr>
          <w:p w14:paraId="4A93A601" w14:textId="77777777" w:rsidR="001D4C12" w:rsidRPr="001D4C12" w:rsidRDefault="001D4C12" w:rsidP="001D4C12">
            <w:pPr>
              <w:jc w:val="both"/>
              <w:rPr>
                <w:rFonts w:eastAsia="Times New Roman" w:cs="Calibri"/>
                <w:color w:val="000000"/>
                <w:sz w:val="20"/>
                <w:szCs w:val="20"/>
                <w:lang w:val="en-US"/>
              </w:rPr>
            </w:pPr>
            <w:r w:rsidRPr="001D4C12">
              <w:rPr>
                <w:rFonts w:eastAsia="Times New Roman" w:cs="Calibri"/>
                <w:color w:val="000000"/>
                <w:sz w:val="20"/>
                <w:szCs w:val="20"/>
              </w:rPr>
              <w:t xml:space="preserve">Приходи от финансиране </w:t>
            </w:r>
          </w:p>
        </w:tc>
        <w:tc>
          <w:tcPr>
            <w:tcW w:w="992" w:type="dxa"/>
            <w:tcBorders>
              <w:top w:val="nil"/>
              <w:left w:val="nil"/>
              <w:bottom w:val="single" w:sz="8" w:space="0" w:color="E26B0A"/>
              <w:right w:val="single" w:sz="8" w:space="0" w:color="E26B0A"/>
            </w:tcBorders>
            <w:shd w:val="clear" w:color="000000" w:fill="FDE9D9"/>
            <w:hideMark/>
          </w:tcPr>
          <w:p w14:paraId="1D5448E3" w14:textId="77777777" w:rsidR="001D4C12" w:rsidRPr="001D4C12" w:rsidRDefault="001D4C12" w:rsidP="001D4C12">
            <w:pPr>
              <w:jc w:val="right"/>
              <w:rPr>
                <w:rFonts w:eastAsia="Times New Roman" w:cs="Calibri"/>
                <w:sz w:val="20"/>
                <w:szCs w:val="20"/>
                <w:lang w:val="en-US"/>
              </w:rPr>
            </w:pPr>
            <w:r w:rsidRPr="001D4C12">
              <w:rPr>
                <w:rFonts w:eastAsia="Times New Roman" w:cs="Calibri"/>
                <w:sz w:val="20"/>
                <w:szCs w:val="20"/>
                <w:lang w:val="en-US"/>
              </w:rPr>
              <w:t>1,53</w:t>
            </w:r>
          </w:p>
        </w:tc>
        <w:tc>
          <w:tcPr>
            <w:tcW w:w="992" w:type="dxa"/>
            <w:tcBorders>
              <w:top w:val="nil"/>
              <w:left w:val="nil"/>
              <w:bottom w:val="single" w:sz="8" w:space="0" w:color="E26B0A"/>
              <w:right w:val="single" w:sz="8" w:space="0" w:color="E26B0A"/>
            </w:tcBorders>
            <w:shd w:val="clear" w:color="000000" w:fill="FDE9D9"/>
            <w:hideMark/>
          </w:tcPr>
          <w:p w14:paraId="457CDBBF" w14:textId="77777777" w:rsidR="001D4C12" w:rsidRPr="001D4C12" w:rsidRDefault="001D4C12" w:rsidP="001D4C12">
            <w:pPr>
              <w:jc w:val="right"/>
              <w:rPr>
                <w:rFonts w:eastAsia="Times New Roman" w:cs="Calibri"/>
                <w:sz w:val="20"/>
                <w:szCs w:val="20"/>
                <w:lang w:val="en-US"/>
              </w:rPr>
            </w:pPr>
            <w:r w:rsidRPr="001D4C12">
              <w:rPr>
                <w:rFonts w:eastAsia="Times New Roman" w:cs="Calibri"/>
                <w:sz w:val="20"/>
                <w:szCs w:val="20"/>
                <w:lang w:val="en-US"/>
              </w:rPr>
              <w:t>2,07</w:t>
            </w:r>
          </w:p>
        </w:tc>
        <w:tc>
          <w:tcPr>
            <w:tcW w:w="1187" w:type="dxa"/>
            <w:tcBorders>
              <w:top w:val="nil"/>
              <w:left w:val="nil"/>
              <w:bottom w:val="single" w:sz="8" w:space="0" w:color="E26B0A"/>
              <w:right w:val="single" w:sz="8" w:space="0" w:color="E26B0A"/>
            </w:tcBorders>
            <w:shd w:val="clear" w:color="000000" w:fill="FDE9D9"/>
            <w:hideMark/>
          </w:tcPr>
          <w:p w14:paraId="6206F977" w14:textId="77777777" w:rsidR="001D4C12" w:rsidRPr="001D4C12" w:rsidRDefault="001D4C12" w:rsidP="001D4C12">
            <w:pPr>
              <w:jc w:val="right"/>
              <w:rPr>
                <w:rFonts w:eastAsia="Times New Roman" w:cs="Calibri"/>
                <w:sz w:val="20"/>
                <w:szCs w:val="20"/>
                <w:lang w:val="en-US"/>
              </w:rPr>
            </w:pPr>
            <w:r w:rsidRPr="001D4C12">
              <w:rPr>
                <w:rFonts w:eastAsia="Times New Roman" w:cs="Calibri"/>
                <w:sz w:val="20"/>
                <w:szCs w:val="20"/>
                <w:lang w:val="en-US"/>
              </w:rPr>
              <w:t>74%</w:t>
            </w:r>
          </w:p>
        </w:tc>
      </w:tr>
      <w:tr w:rsidR="001D4C12" w:rsidRPr="001D4C12" w14:paraId="3C5C178F" w14:textId="77777777" w:rsidTr="00523AD2">
        <w:trPr>
          <w:trHeight w:val="288"/>
        </w:trPr>
        <w:tc>
          <w:tcPr>
            <w:tcW w:w="5387" w:type="dxa"/>
            <w:tcBorders>
              <w:top w:val="nil"/>
              <w:left w:val="single" w:sz="8" w:space="0" w:color="E26B0A"/>
              <w:bottom w:val="single" w:sz="8" w:space="0" w:color="E26B0A"/>
              <w:right w:val="single" w:sz="8" w:space="0" w:color="E26B0A"/>
            </w:tcBorders>
            <w:shd w:val="clear" w:color="000000" w:fill="FDE9D9"/>
            <w:noWrap/>
            <w:vAlign w:val="center"/>
            <w:hideMark/>
          </w:tcPr>
          <w:p w14:paraId="678357F3" w14:textId="77777777" w:rsidR="001D4C12" w:rsidRPr="001D4C12" w:rsidRDefault="001D4C12" w:rsidP="001D4C12">
            <w:pPr>
              <w:jc w:val="both"/>
              <w:rPr>
                <w:rFonts w:eastAsia="Times New Roman" w:cs="Calibri"/>
                <w:color w:val="000000"/>
                <w:sz w:val="20"/>
                <w:szCs w:val="20"/>
                <w:lang w:val="en-US"/>
              </w:rPr>
            </w:pPr>
            <w:r w:rsidRPr="001D4C12">
              <w:rPr>
                <w:rFonts w:eastAsia="Times New Roman" w:cs="Calibri"/>
                <w:color w:val="000000"/>
                <w:sz w:val="20"/>
                <w:szCs w:val="20"/>
              </w:rPr>
              <w:t>Други</w:t>
            </w:r>
          </w:p>
        </w:tc>
        <w:tc>
          <w:tcPr>
            <w:tcW w:w="992" w:type="dxa"/>
            <w:tcBorders>
              <w:top w:val="nil"/>
              <w:left w:val="nil"/>
              <w:bottom w:val="single" w:sz="8" w:space="0" w:color="E26B0A"/>
              <w:right w:val="single" w:sz="8" w:space="0" w:color="E26B0A"/>
            </w:tcBorders>
            <w:shd w:val="clear" w:color="000000" w:fill="FDE9D9"/>
            <w:hideMark/>
          </w:tcPr>
          <w:p w14:paraId="34D1FCCA" w14:textId="77777777" w:rsidR="001D4C12" w:rsidRPr="001D4C12" w:rsidRDefault="001D4C12" w:rsidP="001D4C12">
            <w:pPr>
              <w:jc w:val="right"/>
              <w:rPr>
                <w:rFonts w:eastAsia="Times New Roman" w:cs="Calibri"/>
                <w:sz w:val="20"/>
                <w:szCs w:val="20"/>
                <w:lang w:val="en-US"/>
              </w:rPr>
            </w:pPr>
            <w:r w:rsidRPr="001D4C12">
              <w:rPr>
                <w:rFonts w:eastAsia="Times New Roman" w:cs="Calibri"/>
                <w:sz w:val="20"/>
                <w:szCs w:val="20"/>
                <w:lang w:val="en-US"/>
              </w:rPr>
              <w:t>1,05</w:t>
            </w:r>
          </w:p>
        </w:tc>
        <w:tc>
          <w:tcPr>
            <w:tcW w:w="992" w:type="dxa"/>
            <w:tcBorders>
              <w:top w:val="nil"/>
              <w:left w:val="nil"/>
              <w:bottom w:val="single" w:sz="8" w:space="0" w:color="E26B0A"/>
              <w:right w:val="single" w:sz="8" w:space="0" w:color="E26B0A"/>
            </w:tcBorders>
            <w:shd w:val="clear" w:color="000000" w:fill="FDE9D9"/>
            <w:hideMark/>
          </w:tcPr>
          <w:p w14:paraId="76DBA05B" w14:textId="77777777" w:rsidR="001D4C12" w:rsidRPr="001D4C12" w:rsidRDefault="001D4C12" w:rsidP="001D4C12">
            <w:pPr>
              <w:jc w:val="right"/>
              <w:rPr>
                <w:rFonts w:eastAsia="Times New Roman" w:cs="Calibri"/>
                <w:sz w:val="20"/>
                <w:szCs w:val="20"/>
                <w:lang w:val="en-US"/>
              </w:rPr>
            </w:pPr>
            <w:r w:rsidRPr="001D4C12">
              <w:rPr>
                <w:rFonts w:eastAsia="Times New Roman" w:cs="Calibri"/>
                <w:sz w:val="20"/>
                <w:szCs w:val="20"/>
                <w:lang w:val="en-US"/>
              </w:rPr>
              <w:t>1,33</w:t>
            </w:r>
          </w:p>
        </w:tc>
        <w:tc>
          <w:tcPr>
            <w:tcW w:w="1187" w:type="dxa"/>
            <w:tcBorders>
              <w:top w:val="nil"/>
              <w:left w:val="nil"/>
              <w:bottom w:val="single" w:sz="8" w:space="0" w:color="E26B0A"/>
              <w:right w:val="single" w:sz="8" w:space="0" w:color="E26B0A"/>
            </w:tcBorders>
            <w:shd w:val="clear" w:color="000000" w:fill="FDE9D9"/>
            <w:hideMark/>
          </w:tcPr>
          <w:p w14:paraId="62A3AE21" w14:textId="77777777" w:rsidR="001D4C12" w:rsidRPr="001D4C12" w:rsidRDefault="001D4C12" w:rsidP="001D4C12">
            <w:pPr>
              <w:jc w:val="right"/>
              <w:rPr>
                <w:rFonts w:eastAsia="Times New Roman" w:cs="Calibri"/>
                <w:sz w:val="20"/>
                <w:szCs w:val="20"/>
                <w:lang w:val="en-US"/>
              </w:rPr>
            </w:pPr>
            <w:r w:rsidRPr="001D4C12">
              <w:rPr>
                <w:rFonts w:eastAsia="Times New Roman" w:cs="Calibri"/>
                <w:sz w:val="20"/>
                <w:szCs w:val="20"/>
                <w:lang w:val="en-US"/>
              </w:rPr>
              <w:t>79%</w:t>
            </w:r>
          </w:p>
        </w:tc>
      </w:tr>
    </w:tbl>
    <w:p w14:paraId="2BDFD980" w14:textId="769C4D0F" w:rsidR="00BE44E7" w:rsidRDefault="001D4C12" w:rsidP="001D4C12">
      <w:pPr>
        <w:tabs>
          <w:tab w:val="left" w:pos="0"/>
          <w:tab w:val="left" w:pos="2568"/>
        </w:tabs>
        <w:ind w:right="114"/>
        <w:jc w:val="both"/>
        <w:rPr>
          <w:lang w:val="en-US"/>
        </w:rPr>
      </w:pPr>
      <w:r>
        <w:rPr>
          <w:lang w:val="en-US"/>
        </w:rPr>
        <w:tab/>
      </w:r>
    </w:p>
    <w:p w14:paraId="410C123C" w14:textId="33D742F6" w:rsidR="0047438C" w:rsidRDefault="001D4C12" w:rsidP="00D169BE">
      <w:pPr>
        <w:tabs>
          <w:tab w:val="left" w:pos="0"/>
        </w:tabs>
        <w:ind w:right="114"/>
        <w:jc w:val="both"/>
        <w:rPr>
          <w:lang w:val="en-US"/>
        </w:rPr>
      </w:pPr>
      <w:r>
        <w:rPr>
          <w:noProof/>
          <w:lang w:eastAsia="bg-BG"/>
        </w:rPr>
        <w:drawing>
          <wp:inline distT="0" distB="0" distL="0" distR="0" wp14:anchorId="6430AC69" wp14:editId="098A1512">
            <wp:extent cx="5459730" cy="3634740"/>
            <wp:effectExtent l="57150" t="0" r="64770" b="118110"/>
            <wp:docPr id="5540" name="Chart 554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2BA77B2-09F9-45F7-B179-565DFC640EB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0705432" w14:textId="005AE7FF" w:rsidR="001D4C12" w:rsidRDefault="001D4C12" w:rsidP="00D169BE">
      <w:pPr>
        <w:tabs>
          <w:tab w:val="left" w:pos="0"/>
        </w:tabs>
        <w:ind w:right="114"/>
        <w:jc w:val="both"/>
        <w:rPr>
          <w:lang w:val="en-US"/>
        </w:rPr>
      </w:pPr>
    </w:p>
    <w:p w14:paraId="1980A89C" w14:textId="5786EB42" w:rsidR="001F2D99" w:rsidRDefault="0043526A" w:rsidP="0051576A">
      <w:pPr>
        <w:pStyle w:val="BodyText"/>
        <w:ind w:left="180" w:right="180"/>
        <w:jc w:val="both"/>
        <w:rPr>
          <w:rFonts w:ascii="Calibri" w:hAnsi="Calibri" w:cs="Calibri"/>
          <w:sz w:val="22"/>
          <w:szCs w:val="22"/>
        </w:rPr>
      </w:pPr>
      <w:r w:rsidRPr="00987F3A">
        <w:rPr>
          <w:rFonts w:ascii="Calibri" w:hAnsi="Calibri" w:cs="Calibri"/>
          <w:b/>
          <w:i/>
          <w:sz w:val="22"/>
          <w:szCs w:val="22"/>
        </w:rPr>
        <w:t>“ДКЦ Чайка ”</w:t>
      </w:r>
      <w:r w:rsidRPr="00987F3A">
        <w:rPr>
          <w:rFonts w:ascii="Calibri" w:hAnsi="Calibri" w:cs="Calibri"/>
          <w:b/>
          <w:i/>
          <w:sz w:val="22"/>
          <w:szCs w:val="22"/>
          <w:lang w:val="en-US"/>
        </w:rPr>
        <w:t>E</w:t>
      </w:r>
      <w:r w:rsidRPr="00987F3A">
        <w:rPr>
          <w:rFonts w:ascii="Calibri" w:hAnsi="Calibri" w:cs="Calibri"/>
          <w:b/>
          <w:i/>
          <w:sz w:val="22"/>
          <w:szCs w:val="22"/>
        </w:rPr>
        <w:t>ООД</w:t>
      </w:r>
      <w:r w:rsidR="0051576A" w:rsidRPr="00987F3A">
        <w:rPr>
          <w:rFonts w:ascii="Calibri" w:hAnsi="Calibri" w:cs="Calibri"/>
          <w:sz w:val="22"/>
          <w:szCs w:val="22"/>
        </w:rPr>
        <w:t xml:space="preserve">” </w:t>
      </w:r>
      <w:r w:rsidR="001A4C1B" w:rsidRPr="00987F3A">
        <w:rPr>
          <w:rFonts w:ascii="Calibri" w:hAnsi="Calibri" w:cs="Calibri"/>
          <w:sz w:val="22"/>
          <w:szCs w:val="22"/>
        </w:rPr>
        <w:t xml:space="preserve"> </w:t>
      </w:r>
      <w:r w:rsidR="0051576A" w:rsidRPr="00987F3A">
        <w:rPr>
          <w:rFonts w:ascii="Calibri" w:hAnsi="Calibri" w:cs="Calibri"/>
          <w:sz w:val="22"/>
          <w:szCs w:val="22"/>
        </w:rPr>
        <w:t>реализира</w:t>
      </w:r>
      <w:r w:rsidR="0051576A" w:rsidRPr="00F57060">
        <w:rPr>
          <w:rFonts w:ascii="Calibri" w:hAnsi="Calibri" w:cs="Calibri"/>
          <w:sz w:val="22"/>
          <w:szCs w:val="22"/>
        </w:rPr>
        <w:t xml:space="preserve"> своите</w:t>
      </w:r>
      <w:r>
        <w:rPr>
          <w:rFonts w:ascii="Calibri" w:hAnsi="Calibri" w:cs="Calibri"/>
          <w:sz w:val="22"/>
          <w:szCs w:val="22"/>
          <w:lang w:val="en-US"/>
        </w:rPr>
        <w:t xml:space="preserve">  </w:t>
      </w:r>
      <w:r w:rsidR="0051576A" w:rsidRPr="00F57060">
        <w:rPr>
          <w:rFonts w:ascii="Calibri" w:hAnsi="Calibri" w:cs="Calibri"/>
          <w:sz w:val="22"/>
          <w:szCs w:val="22"/>
        </w:rPr>
        <w:t xml:space="preserve"> услуги на </w:t>
      </w:r>
      <w:r>
        <w:rPr>
          <w:rFonts w:ascii="Calibri" w:hAnsi="Calibri" w:cs="Calibri"/>
          <w:sz w:val="22"/>
          <w:szCs w:val="22"/>
        </w:rPr>
        <w:t xml:space="preserve"> вътрешни пазари</w:t>
      </w:r>
      <w:r w:rsidR="004A0CAD">
        <w:rPr>
          <w:rFonts w:ascii="Calibri" w:hAnsi="Calibri" w:cs="Calibri"/>
          <w:sz w:val="22"/>
          <w:szCs w:val="22"/>
        </w:rPr>
        <w:t xml:space="preserve"> </w:t>
      </w:r>
      <w:r w:rsidR="004A0CAD" w:rsidRPr="00F51E2A">
        <w:rPr>
          <w:rFonts w:ascii="Calibri" w:hAnsi="Calibri" w:cs="Calibri"/>
          <w:b/>
          <w:sz w:val="22"/>
          <w:szCs w:val="22"/>
        </w:rPr>
        <w:t>(съгл. т.2 от Приложение</w:t>
      </w:r>
      <w:r w:rsidR="00965ADD" w:rsidRPr="00F51E2A">
        <w:rPr>
          <w:rFonts w:ascii="Calibri" w:hAnsi="Calibri" w:cs="Calibri"/>
          <w:b/>
          <w:sz w:val="22"/>
          <w:szCs w:val="22"/>
        </w:rPr>
        <w:t xml:space="preserve"> № </w:t>
      </w:r>
      <w:r w:rsidR="00E7012F">
        <w:rPr>
          <w:rFonts w:ascii="Calibri" w:hAnsi="Calibri" w:cs="Calibri"/>
          <w:b/>
          <w:sz w:val="22"/>
          <w:szCs w:val="22"/>
        </w:rPr>
        <w:t>2</w:t>
      </w:r>
      <w:r w:rsidR="004A0CAD" w:rsidRPr="00F51E2A">
        <w:rPr>
          <w:rFonts w:ascii="Calibri" w:hAnsi="Calibri" w:cs="Calibri"/>
          <w:b/>
          <w:sz w:val="22"/>
          <w:szCs w:val="22"/>
        </w:rPr>
        <w:t>)</w:t>
      </w:r>
      <w:r w:rsidR="0051576A" w:rsidRPr="00965ADD">
        <w:rPr>
          <w:rFonts w:ascii="Calibri" w:hAnsi="Calibri" w:cs="Calibri"/>
          <w:b/>
          <w:sz w:val="22"/>
          <w:szCs w:val="22"/>
        </w:rPr>
        <w:t>:</w:t>
      </w:r>
    </w:p>
    <w:p w14:paraId="70CF40DE" w14:textId="6CBC3425" w:rsidR="001D4C12" w:rsidRDefault="005D27D6" w:rsidP="005D27D6">
      <w:pPr>
        <w:pStyle w:val="BodyText"/>
        <w:ind w:right="180"/>
        <w:jc w:val="both"/>
        <w:rPr>
          <w:rFonts w:ascii="Calibri" w:hAnsi="Calibri"/>
          <w:sz w:val="22"/>
          <w:lang w:val="en-US"/>
        </w:rPr>
      </w:pPr>
      <w:r w:rsidRPr="006623F6">
        <w:rPr>
          <w:rFonts w:ascii="Calibri" w:hAnsi="Calibri"/>
          <w:sz w:val="22"/>
        </w:rPr>
        <w:t xml:space="preserve">Реализираните </w:t>
      </w:r>
      <w:r>
        <w:rPr>
          <w:rFonts w:ascii="Calibri" w:hAnsi="Calibri"/>
          <w:sz w:val="22"/>
        </w:rPr>
        <w:t>на вътрешните  пазари</w:t>
      </w:r>
      <w:r w:rsidRPr="006623F6">
        <w:rPr>
          <w:rFonts w:ascii="Calibri" w:hAnsi="Calibri"/>
          <w:sz w:val="22"/>
        </w:rPr>
        <w:t xml:space="preserve"> приходи по видове</w:t>
      </w:r>
      <w:r w:rsidR="00654445">
        <w:rPr>
          <w:rFonts w:ascii="Calibri" w:hAnsi="Calibri"/>
          <w:sz w:val="22"/>
        </w:rPr>
        <w:t xml:space="preserve"> </w:t>
      </w:r>
      <w:r w:rsidRPr="006623F6">
        <w:rPr>
          <w:rFonts w:ascii="Calibri" w:hAnsi="Calibri"/>
          <w:sz w:val="22"/>
        </w:rPr>
        <w:t xml:space="preserve"> услуги от дейността за </w:t>
      </w:r>
      <w:r w:rsidR="00487716">
        <w:rPr>
          <w:rFonts w:ascii="Calibri" w:hAnsi="Calibri"/>
          <w:sz w:val="22"/>
        </w:rPr>
        <w:t>2021</w:t>
      </w:r>
      <w:r>
        <w:rPr>
          <w:rFonts w:ascii="Calibri" w:hAnsi="Calibri"/>
          <w:sz w:val="22"/>
        </w:rPr>
        <w:t xml:space="preserve"> </w:t>
      </w:r>
      <w:r w:rsidRPr="006623F6">
        <w:rPr>
          <w:rFonts w:ascii="Calibri" w:hAnsi="Calibri"/>
          <w:sz w:val="22"/>
        </w:rPr>
        <w:t>г.</w:t>
      </w:r>
      <w:r>
        <w:rPr>
          <w:rFonts w:ascii="Calibri" w:hAnsi="Calibri"/>
          <w:sz w:val="22"/>
        </w:rPr>
        <w:t xml:space="preserve"> </w:t>
      </w:r>
      <w:r w:rsidRPr="006623F6">
        <w:rPr>
          <w:rFonts w:ascii="Calibri" w:hAnsi="Calibri"/>
          <w:sz w:val="22"/>
        </w:rPr>
        <w:t xml:space="preserve"> </w:t>
      </w:r>
      <w:r w:rsidRPr="005D27D6">
        <w:rPr>
          <w:rFonts w:ascii="Calibri" w:hAnsi="Calibri"/>
          <w:sz w:val="22"/>
        </w:rPr>
        <w:t xml:space="preserve">и тяхното изменение </w:t>
      </w:r>
      <w:r w:rsidRPr="006623F6">
        <w:rPr>
          <w:rFonts w:ascii="Calibri" w:hAnsi="Calibri"/>
          <w:sz w:val="22"/>
        </w:rPr>
        <w:t xml:space="preserve">спрямо </w:t>
      </w:r>
      <w:r w:rsidR="00487716">
        <w:rPr>
          <w:rFonts w:ascii="Calibri" w:hAnsi="Calibri"/>
          <w:sz w:val="22"/>
        </w:rPr>
        <w:t>2020</w:t>
      </w:r>
      <w:r w:rsidRPr="006623F6">
        <w:rPr>
          <w:rFonts w:ascii="Calibri" w:hAnsi="Calibri"/>
          <w:sz w:val="22"/>
        </w:rPr>
        <w:t xml:space="preserve"> г.</w:t>
      </w:r>
      <w:r w:rsidR="004A0CAD" w:rsidRPr="004A0CAD">
        <w:rPr>
          <w:rFonts w:ascii="Calibri" w:hAnsi="Calibri"/>
          <w:sz w:val="22"/>
        </w:rPr>
        <w:t xml:space="preserve"> </w:t>
      </w:r>
      <w:r w:rsidR="00965ADD">
        <w:rPr>
          <w:rFonts w:ascii="Calibri" w:hAnsi="Calibri"/>
          <w:b/>
          <w:sz w:val="22"/>
        </w:rPr>
        <w:t xml:space="preserve">(съгл. т.2 от Приложение № </w:t>
      </w:r>
      <w:r w:rsidR="00E7012F">
        <w:rPr>
          <w:rFonts w:ascii="Calibri" w:hAnsi="Calibri"/>
          <w:b/>
          <w:sz w:val="22"/>
        </w:rPr>
        <w:t>2</w:t>
      </w:r>
      <w:r w:rsidR="004A0CAD" w:rsidRPr="0074615C">
        <w:rPr>
          <w:rFonts w:ascii="Calibri" w:hAnsi="Calibri"/>
          <w:b/>
          <w:sz w:val="22"/>
        </w:rPr>
        <w:t>)</w:t>
      </w:r>
      <w:r w:rsidRPr="006623F6">
        <w:rPr>
          <w:rFonts w:ascii="Calibri" w:hAnsi="Calibri"/>
          <w:sz w:val="22"/>
        </w:rPr>
        <w:t xml:space="preserve"> са както</w:t>
      </w:r>
      <w:r w:rsidR="00F8764A">
        <w:rPr>
          <w:rFonts w:ascii="Calibri" w:hAnsi="Calibri"/>
          <w:sz w:val="22"/>
        </w:rPr>
        <w:t xml:space="preserve"> с</w:t>
      </w:r>
      <w:r w:rsidRPr="006623F6">
        <w:rPr>
          <w:rFonts w:ascii="Calibri" w:hAnsi="Calibri"/>
          <w:sz w:val="22"/>
        </w:rPr>
        <w:t>ледва:</w:t>
      </w:r>
    </w:p>
    <w:tbl>
      <w:tblPr>
        <w:tblW w:w="9923" w:type="dxa"/>
        <w:tblLayout w:type="fixed"/>
        <w:tblLook w:val="04A0" w:firstRow="1" w:lastRow="0" w:firstColumn="1" w:lastColumn="0" w:noHBand="0" w:noVBand="1"/>
      </w:tblPr>
      <w:tblGrid>
        <w:gridCol w:w="3460"/>
        <w:gridCol w:w="909"/>
        <w:gridCol w:w="1200"/>
        <w:gridCol w:w="1220"/>
        <w:gridCol w:w="1280"/>
        <w:gridCol w:w="909"/>
        <w:gridCol w:w="945"/>
      </w:tblGrid>
      <w:tr w:rsidR="001D4C12" w:rsidRPr="001D4C12" w14:paraId="3B8F857B" w14:textId="77777777" w:rsidTr="009A475F">
        <w:trPr>
          <w:trHeight w:val="288"/>
        </w:trPr>
        <w:tc>
          <w:tcPr>
            <w:tcW w:w="3460" w:type="dxa"/>
            <w:tcBorders>
              <w:top w:val="nil"/>
              <w:left w:val="nil"/>
              <w:bottom w:val="nil"/>
              <w:right w:val="nil"/>
            </w:tcBorders>
            <w:shd w:val="clear" w:color="auto" w:fill="auto"/>
            <w:noWrap/>
            <w:vAlign w:val="bottom"/>
            <w:hideMark/>
          </w:tcPr>
          <w:p w14:paraId="3BB7A7B9" w14:textId="77777777" w:rsidR="001D4C12" w:rsidRPr="001D4C12" w:rsidRDefault="001D4C12" w:rsidP="001D4C12">
            <w:pPr>
              <w:rPr>
                <w:rFonts w:ascii="Times New Roman" w:eastAsia="Times New Roman" w:hAnsi="Times New Roman"/>
                <w:sz w:val="20"/>
                <w:szCs w:val="20"/>
                <w:lang w:val="en-US"/>
              </w:rPr>
            </w:pPr>
          </w:p>
        </w:tc>
        <w:tc>
          <w:tcPr>
            <w:tcW w:w="909" w:type="dxa"/>
            <w:tcBorders>
              <w:top w:val="nil"/>
              <w:left w:val="nil"/>
              <w:bottom w:val="nil"/>
              <w:right w:val="nil"/>
            </w:tcBorders>
            <w:shd w:val="clear" w:color="auto" w:fill="auto"/>
            <w:noWrap/>
            <w:vAlign w:val="bottom"/>
            <w:hideMark/>
          </w:tcPr>
          <w:p w14:paraId="0FAA4013" w14:textId="77777777" w:rsidR="001D4C12" w:rsidRPr="001D4C12" w:rsidRDefault="001D4C12" w:rsidP="001D4C12">
            <w:pPr>
              <w:rPr>
                <w:rFonts w:ascii="Times New Roman" w:eastAsia="Times New Roman" w:hAnsi="Times New Roman"/>
                <w:sz w:val="20"/>
                <w:szCs w:val="20"/>
                <w:lang w:val="en-US"/>
              </w:rPr>
            </w:pPr>
          </w:p>
        </w:tc>
        <w:tc>
          <w:tcPr>
            <w:tcW w:w="1200" w:type="dxa"/>
            <w:tcBorders>
              <w:top w:val="nil"/>
              <w:left w:val="nil"/>
              <w:bottom w:val="nil"/>
              <w:right w:val="nil"/>
            </w:tcBorders>
            <w:shd w:val="clear" w:color="auto" w:fill="auto"/>
            <w:noWrap/>
            <w:vAlign w:val="bottom"/>
            <w:hideMark/>
          </w:tcPr>
          <w:p w14:paraId="1168C08B" w14:textId="77777777" w:rsidR="001D4C12" w:rsidRPr="001D4C12" w:rsidRDefault="001D4C12" w:rsidP="001D4C12">
            <w:pPr>
              <w:rPr>
                <w:rFonts w:ascii="Times New Roman" w:eastAsia="Times New Roman" w:hAnsi="Times New Roman"/>
                <w:sz w:val="20"/>
                <w:szCs w:val="20"/>
                <w:lang w:val="en-US"/>
              </w:rPr>
            </w:pPr>
          </w:p>
        </w:tc>
        <w:tc>
          <w:tcPr>
            <w:tcW w:w="1220" w:type="dxa"/>
            <w:tcBorders>
              <w:top w:val="nil"/>
              <w:left w:val="nil"/>
              <w:bottom w:val="nil"/>
              <w:right w:val="nil"/>
            </w:tcBorders>
            <w:shd w:val="clear" w:color="auto" w:fill="auto"/>
            <w:noWrap/>
            <w:vAlign w:val="bottom"/>
            <w:hideMark/>
          </w:tcPr>
          <w:p w14:paraId="7AAF4B57" w14:textId="77777777" w:rsidR="001D4C12" w:rsidRPr="001D4C12" w:rsidRDefault="001D4C12" w:rsidP="001D4C12">
            <w:pPr>
              <w:rPr>
                <w:rFonts w:ascii="Times New Roman" w:eastAsia="Times New Roman" w:hAnsi="Times New Roman"/>
                <w:sz w:val="20"/>
                <w:szCs w:val="20"/>
                <w:lang w:val="en-US"/>
              </w:rPr>
            </w:pPr>
          </w:p>
        </w:tc>
        <w:tc>
          <w:tcPr>
            <w:tcW w:w="1280" w:type="dxa"/>
            <w:tcBorders>
              <w:top w:val="nil"/>
              <w:left w:val="nil"/>
              <w:bottom w:val="nil"/>
              <w:right w:val="nil"/>
            </w:tcBorders>
            <w:shd w:val="clear" w:color="auto" w:fill="auto"/>
            <w:noWrap/>
            <w:vAlign w:val="bottom"/>
            <w:hideMark/>
          </w:tcPr>
          <w:p w14:paraId="31EA474F" w14:textId="77777777" w:rsidR="001D4C12" w:rsidRPr="001D4C12" w:rsidRDefault="001D4C12" w:rsidP="001D4C12">
            <w:pPr>
              <w:rPr>
                <w:rFonts w:ascii="Times New Roman" w:eastAsia="Times New Roman" w:hAnsi="Times New Roman"/>
                <w:sz w:val="20"/>
                <w:szCs w:val="20"/>
                <w:lang w:val="en-US"/>
              </w:rPr>
            </w:pPr>
          </w:p>
        </w:tc>
        <w:tc>
          <w:tcPr>
            <w:tcW w:w="909" w:type="dxa"/>
            <w:tcBorders>
              <w:top w:val="nil"/>
              <w:left w:val="nil"/>
              <w:bottom w:val="nil"/>
              <w:right w:val="nil"/>
            </w:tcBorders>
            <w:shd w:val="clear" w:color="auto" w:fill="auto"/>
            <w:noWrap/>
            <w:vAlign w:val="bottom"/>
            <w:hideMark/>
          </w:tcPr>
          <w:p w14:paraId="03BE8189" w14:textId="77777777" w:rsidR="001D4C12" w:rsidRPr="001D4C12" w:rsidRDefault="001D4C12" w:rsidP="001D4C12">
            <w:pPr>
              <w:rPr>
                <w:rFonts w:ascii="Times New Roman" w:eastAsia="Times New Roman" w:hAnsi="Times New Roman"/>
                <w:sz w:val="20"/>
                <w:szCs w:val="20"/>
                <w:lang w:val="en-US"/>
              </w:rPr>
            </w:pPr>
          </w:p>
        </w:tc>
        <w:tc>
          <w:tcPr>
            <w:tcW w:w="945" w:type="dxa"/>
            <w:tcBorders>
              <w:top w:val="nil"/>
              <w:left w:val="nil"/>
              <w:bottom w:val="nil"/>
              <w:right w:val="nil"/>
            </w:tcBorders>
            <w:shd w:val="clear" w:color="auto" w:fill="auto"/>
            <w:noWrap/>
            <w:vAlign w:val="bottom"/>
            <w:hideMark/>
          </w:tcPr>
          <w:p w14:paraId="3E7C2476" w14:textId="77777777" w:rsidR="001D4C12" w:rsidRPr="001D4C12" w:rsidRDefault="001D4C12" w:rsidP="001D4C12">
            <w:pPr>
              <w:jc w:val="right"/>
              <w:rPr>
                <w:rFonts w:eastAsia="Times New Roman" w:cs="Calibri"/>
                <w:i/>
                <w:iCs/>
                <w:sz w:val="20"/>
                <w:szCs w:val="20"/>
                <w:lang w:val="en-US"/>
              </w:rPr>
            </w:pPr>
            <w:r w:rsidRPr="001D4C12">
              <w:rPr>
                <w:rFonts w:eastAsia="Times New Roman" w:cs="Calibri"/>
                <w:i/>
                <w:iCs/>
                <w:sz w:val="20"/>
                <w:szCs w:val="20"/>
                <w:lang w:val="en-US"/>
              </w:rPr>
              <w:t>(хил.лв.)</w:t>
            </w:r>
          </w:p>
        </w:tc>
      </w:tr>
      <w:tr w:rsidR="001D4C12" w:rsidRPr="001D4C12" w14:paraId="0B0EFDE3" w14:textId="77777777" w:rsidTr="009A475F">
        <w:trPr>
          <w:trHeight w:val="288"/>
        </w:trPr>
        <w:tc>
          <w:tcPr>
            <w:tcW w:w="9923" w:type="dxa"/>
            <w:gridSpan w:val="7"/>
            <w:tcBorders>
              <w:top w:val="single" w:sz="8" w:space="0" w:color="E26B0A"/>
              <w:left w:val="single" w:sz="8" w:space="0" w:color="E26B0A"/>
              <w:bottom w:val="single" w:sz="8" w:space="0" w:color="E26B0A"/>
              <w:right w:val="single" w:sz="8" w:space="0" w:color="E26B0A"/>
            </w:tcBorders>
            <w:shd w:val="clear" w:color="000000" w:fill="E26B0A"/>
            <w:hideMark/>
          </w:tcPr>
          <w:p w14:paraId="0C008585" w14:textId="77777777" w:rsidR="001D4C12" w:rsidRPr="001D4C12" w:rsidRDefault="001D4C12" w:rsidP="001D4C12">
            <w:pPr>
              <w:jc w:val="center"/>
              <w:rPr>
                <w:rFonts w:eastAsia="Times New Roman" w:cs="Calibri"/>
                <w:b/>
                <w:bCs/>
                <w:color w:val="FFFFFF"/>
                <w:sz w:val="20"/>
                <w:szCs w:val="20"/>
                <w:lang w:val="en-US"/>
              </w:rPr>
            </w:pPr>
            <w:r w:rsidRPr="001D4C12">
              <w:rPr>
                <w:rFonts w:eastAsia="Times New Roman" w:cs="Calibri"/>
                <w:b/>
                <w:bCs/>
                <w:color w:val="FFFFFF"/>
                <w:sz w:val="20"/>
                <w:szCs w:val="20"/>
                <w:lang w:val="en-US"/>
              </w:rPr>
              <w:t>Реализирани приходи от продажби</w:t>
            </w:r>
          </w:p>
        </w:tc>
      </w:tr>
      <w:tr w:rsidR="001D4C12" w:rsidRPr="001D4C12" w14:paraId="00987D18" w14:textId="77777777" w:rsidTr="009A475F">
        <w:trPr>
          <w:trHeight w:val="288"/>
        </w:trPr>
        <w:tc>
          <w:tcPr>
            <w:tcW w:w="3460" w:type="dxa"/>
            <w:vMerge w:val="restart"/>
            <w:tcBorders>
              <w:top w:val="nil"/>
              <w:left w:val="single" w:sz="8" w:space="0" w:color="E26B0A"/>
              <w:bottom w:val="single" w:sz="8" w:space="0" w:color="E26B0A"/>
              <w:right w:val="single" w:sz="8" w:space="0" w:color="E26B0A"/>
            </w:tcBorders>
            <w:shd w:val="clear" w:color="000000" w:fill="FABF8F"/>
            <w:vAlign w:val="center"/>
            <w:hideMark/>
          </w:tcPr>
          <w:p w14:paraId="592E9447" w14:textId="77777777" w:rsidR="001D4C12" w:rsidRPr="001D4C12" w:rsidRDefault="001D4C12" w:rsidP="001D4C12">
            <w:pPr>
              <w:jc w:val="center"/>
              <w:rPr>
                <w:rFonts w:eastAsia="Times New Roman" w:cs="Calibri"/>
                <w:b/>
                <w:bCs/>
                <w:sz w:val="20"/>
                <w:szCs w:val="20"/>
                <w:lang w:val="en-US"/>
              </w:rPr>
            </w:pPr>
            <w:r w:rsidRPr="001D4C12">
              <w:rPr>
                <w:rFonts w:eastAsia="Times New Roman" w:cs="Calibri"/>
                <w:b/>
                <w:bCs/>
                <w:sz w:val="20"/>
                <w:szCs w:val="20"/>
                <w:lang w:val="en-US"/>
              </w:rPr>
              <w:t>по видове услуги</w:t>
            </w:r>
          </w:p>
        </w:tc>
        <w:tc>
          <w:tcPr>
            <w:tcW w:w="2109" w:type="dxa"/>
            <w:gridSpan w:val="2"/>
            <w:tcBorders>
              <w:top w:val="single" w:sz="8" w:space="0" w:color="E26B0A"/>
              <w:left w:val="nil"/>
              <w:bottom w:val="single" w:sz="8" w:space="0" w:color="E26B0A"/>
              <w:right w:val="single" w:sz="8" w:space="0" w:color="E26B0A"/>
            </w:tcBorders>
            <w:shd w:val="clear" w:color="000000" w:fill="FABF8F"/>
            <w:hideMark/>
          </w:tcPr>
          <w:p w14:paraId="6AFB4514" w14:textId="77777777" w:rsidR="001D4C12" w:rsidRPr="001D4C12" w:rsidRDefault="001D4C12" w:rsidP="001D4C12">
            <w:pPr>
              <w:jc w:val="center"/>
              <w:rPr>
                <w:rFonts w:eastAsia="Times New Roman" w:cs="Calibri"/>
                <w:b/>
                <w:bCs/>
                <w:sz w:val="20"/>
                <w:szCs w:val="20"/>
                <w:lang w:val="en-US"/>
              </w:rPr>
            </w:pPr>
            <w:r w:rsidRPr="001D4C12">
              <w:rPr>
                <w:rFonts w:eastAsia="Times New Roman" w:cs="Calibri"/>
                <w:b/>
                <w:bCs/>
                <w:sz w:val="20"/>
                <w:szCs w:val="20"/>
                <w:lang w:val="en-US"/>
              </w:rPr>
              <w:t>2021</w:t>
            </w:r>
          </w:p>
        </w:tc>
        <w:tc>
          <w:tcPr>
            <w:tcW w:w="2500" w:type="dxa"/>
            <w:gridSpan w:val="2"/>
            <w:tcBorders>
              <w:top w:val="single" w:sz="8" w:space="0" w:color="E26B0A"/>
              <w:left w:val="nil"/>
              <w:bottom w:val="single" w:sz="8" w:space="0" w:color="E26B0A"/>
              <w:right w:val="single" w:sz="8" w:space="0" w:color="E26B0A"/>
            </w:tcBorders>
            <w:shd w:val="clear" w:color="000000" w:fill="FABF8F"/>
            <w:hideMark/>
          </w:tcPr>
          <w:p w14:paraId="4495EF93" w14:textId="77777777" w:rsidR="001D4C12" w:rsidRPr="001D4C12" w:rsidRDefault="001D4C12" w:rsidP="001D4C12">
            <w:pPr>
              <w:jc w:val="center"/>
              <w:rPr>
                <w:rFonts w:eastAsia="Times New Roman" w:cs="Calibri"/>
                <w:b/>
                <w:bCs/>
                <w:sz w:val="20"/>
                <w:szCs w:val="20"/>
                <w:lang w:val="en-US"/>
              </w:rPr>
            </w:pPr>
            <w:r w:rsidRPr="001D4C12">
              <w:rPr>
                <w:rFonts w:eastAsia="Times New Roman" w:cs="Calibri"/>
                <w:b/>
                <w:bCs/>
                <w:sz w:val="20"/>
                <w:szCs w:val="20"/>
                <w:lang w:val="en-US"/>
              </w:rPr>
              <w:t>2020</w:t>
            </w:r>
          </w:p>
        </w:tc>
        <w:tc>
          <w:tcPr>
            <w:tcW w:w="1854" w:type="dxa"/>
            <w:gridSpan w:val="2"/>
            <w:tcBorders>
              <w:top w:val="single" w:sz="8" w:space="0" w:color="E26B0A"/>
              <w:left w:val="nil"/>
              <w:bottom w:val="single" w:sz="8" w:space="0" w:color="E26B0A"/>
              <w:right w:val="single" w:sz="8" w:space="0" w:color="E26B0A"/>
            </w:tcBorders>
            <w:shd w:val="clear" w:color="000000" w:fill="FABF8F"/>
            <w:hideMark/>
          </w:tcPr>
          <w:p w14:paraId="4714B60A" w14:textId="77777777" w:rsidR="001D4C12" w:rsidRPr="001D4C12" w:rsidRDefault="001D4C12" w:rsidP="001D4C12">
            <w:pPr>
              <w:jc w:val="center"/>
              <w:rPr>
                <w:rFonts w:eastAsia="Times New Roman" w:cs="Calibri"/>
                <w:b/>
                <w:bCs/>
                <w:sz w:val="20"/>
                <w:szCs w:val="20"/>
                <w:lang w:val="en-US"/>
              </w:rPr>
            </w:pPr>
            <w:r w:rsidRPr="001D4C12">
              <w:rPr>
                <w:rFonts w:eastAsia="Times New Roman" w:cs="Calibri"/>
                <w:b/>
                <w:bCs/>
                <w:sz w:val="20"/>
                <w:szCs w:val="20"/>
                <w:lang w:val="en-US"/>
              </w:rPr>
              <w:t>изменение %</w:t>
            </w:r>
          </w:p>
        </w:tc>
      </w:tr>
      <w:tr w:rsidR="001D4C12" w:rsidRPr="001D4C12" w14:paraId="41CEFBD8" w14:textId="77777777" w:rsidTr="009A475F">
        <w:trPr>
          <w:trHeight w:val="564"/>
        </w:trPr>
        <w:tc>
          <w:tcPr>
            <w:tcW w:w="3460" w:type="dxa"/>
            <w:vMerge/>
            <w:tcBorders>
              <w:top w:val="nil"/>
              <w:left w:val="single" w:sz="8" w:space="0" w:color="E26B0A"/>
              <w:bottom w:val="single" w:sz="8" w:space="0" w:color="E26B0A"/>
              <w:right w:val="single" w:sz="8" w:space="0" w:color="E26B0A"/>
            </w:tcBorders>
            <w:vAlign w:val="center"/>
            <w:hideMark/>
          </w:tcPr>
          <w:p w14:paraId="7503C4ED" w14:textId="77777777" w:rsidR="001D4C12" w:rsidRPr="001D4C12" w:rsidRDefault="001D4C12" w:rsidP="001D4C12">
            <w:pPr>
              <w:rPr>
                <w:rFonts w:eastAsia="Times New Roman" w:cs="Calibri"/>
                <w:b/>
                <w:bCs/>
                <w:sz w:val="20"/>
                <w:szCs w:val="20"/>
                <w:lang w:val="en-US"/>
              </w:rPr>
            </w:pPr>
          </w:p>
        </w:tc>
        <w:tc>
          <w:tcPr>
            <w:tcW w:w="909" w:type="dxa"/>
            <w:tcBorders>
              <w:top w:val="nil"/>
              <w:left w:val="nil"/>
              <w:bottom w:val="single" w:sz="8" w:space="0" w:color="E26B0A"/>
              <w:right w:val="single" w:sz="8" w:space="0" w:color="E26B0A"/>
            </w:tcBorders>
            <w:shd w:val="clear" w:color="000000" w:fill="FABF8F"/>
            <w:hideMark/>
          </w:tcPr>
          <w:p w14:paraId="2CA6B5AE" w14:textId="77777777" w:rsidR="001D4C12" w:rsidRPr="001D4C12" w:rsidRDefault="001D4C12" w:rsidP="001D4C12">
            <w:pPr>
              <w:jc w:val="center"/>
              <w:rPr>
                <w:rFonts w:eastAsia="Times New Roman" w:cs="Calibri"/>
                <w:b/>
                <w:bCs/>
                <w:sz w:val="20"/>
                <w:szCs w:val="20"/>
                <w:lang w:val="en-US"/>
              </w:rPr>
            </w:pPr>
            <w:r w:rsidRPr="001D4C12">
              <w:rPr>
                <w:rFonts w:eastAsia="Times New Roman" w:cs="Calibri"/>
                <w:b/>
                <w:bCs/>
                <w:sz w:val="20"/>
                <w:szCs w:val="20"/>
                <w:lang w:val="en-US"/>
              </w:rPr>
              <w:t>външни пазари</w:t>
            </w:r>
          </w:p>
        </w:tc>
        <w:tc>
          <w:tcPr>
            <w:tcW w:w="1200" w:type="dxa"/>
            <w:tcBorders>
              <w:top w:val="nil"/>
              <w:left w:val="nil"/>
              <w:bottom w:val="single" w:sz="8" w:space="0" w:color="E26B0A"/>
              <w:right w:val="single" w:sz="8" w:space="0" w:color="E26B0A"/>
            </w:tcBorders>
            <w:shd w:val="clear" w:color="000000" w:fill="FABF8F"/>
            <w:hideMark/>
          </w:tcPr>
          <w:p w14:paraId="1294A3B7" w14:textId="77777777" w:rsidR="001D4C12" w:rsidRPr="001D4C12" w:rsidRDefault="001D4C12" w:rsidP="001D4C12">
            <w:pPr>
              <w:jc w:val="center"/>
              <w:rPr>
                <w:rFonts w:eastAsia="Times New Roman" w:cs="Calibri"/>
                <w:b/>
                <w:bCs/>
                <w:sz w:val="20"/>
                <w:szCs w:val="20"/>
                <w:lang w:val="en-US"/>
              </w:rPr>
            </w:pPr>
            <w:r w:rsidRPr="001D4C12">
              <w:rPr>
                <w:rFonts w:eastAsia="Times New Roman" w:cs="Calibri"/>
                <w:b/>
                <w:bCs/>
                <w:sz w:val="20"/>
                <w:szCs w:val="20"/>
                <w:lang w:val="en-US"/>
              </w:rPr>
              <w:t>вътрешни пазари</w:t>
            </w:r>
          </w:p>
        </w:tc>
        <w:tc>
          <w:tcPr>
            <w:tcW w:w="1220" w:type="dxa"/>
            <w:tcBorders>
              <w:top w:val="nil"/>
              <w:left w:val="nil"/>
              <w:bottom w:val="single" w:sz="8" w:space="0" w:color="E26B0A"/>
              <w:right w:val="single" w:sz="8" w:space="0" w:color="E26B0A"/>
            </w:tcBorders>
            <w:shd w:val="clear" w:color="000000" w:fill="FABF8F"/>
            <w:hideMark/>
          </w:tcPr>
          <w:p w14:paraId="6B594C3D" w14:textId="77777777" w:rsidR="001D4C12" w:rsidRPr="001D4C12" w:rsidRDefault="001D4C12" w:rsidP="001D4C12">
            <w:pPr>
              <w:jc w:val="center"/>
              <w:rPr>
                <w:rFonts w:eastAsia="Times New Roman" w:cs="Calibri"/>
                <w:b/>
                <w:bCs/>
                <w:sz w:val="20"/>
                <w:szCs w:val="20"/>
                <w:lang w:val="en-US"/>
              </w:rPr>
            </w:pPr>
            <w:r w:rsidRPr="001D4C12">
              <w:rPr>
                <w:rFonts w:eastAsia="Times New Roman" w:cs="Calibri"/>
                <w:b/>
                <w:bCs/>
                <w:sz w:val="20"/>
                <w:szCs w:val="20"/>
                <w:lang w:val="en-US"/>
              </w:rPr>
              <w:t>външни пазари</w:t>
            </w:r>
          </w:p>
        </w:tc>
        <w:tc>
          <w:tcPr>
            <w:tcW w:w="1280" w:type="dxa"/>
            <w:tcBorders>
              <w:top w:val="nil"/>
              <w:left w:val="nil"/>
              <w:bottom w:val="single" w:sz="8" w:space="0" w:color="E26B0A"/>
              <w:right w:val="single" w:sz="8" w:space="0" w:color="E26B0A"/>
            </w:tcBorders>
            <w:shd w:val="clear" w:color="000000" w:fill="FABF8F"/>
            <w:hideMark/>
          </w:tcPr>
          <w:p w14:paraId="5BCEB92B" w14:textId="77777777" w:rsidR="001D4C12" w:rsidRPr="001D4C12" w:rsidRDefault="001D4C12" w:rsidP="001D4C12">
            <w:pPr>
              <w:jc w:val="center"/>
              <w:rPr>
                <w:rFonts w:eastAsia="Times New Roman" w:cs="Calibri"/>
                <w:b/>
                <w:bCs/>
                <w:sz w:val="20"/>
                <w:szCs w:val="20"/>
                <w:lang w:val="en-US"/>
              </w:rPr>
            </w:pPr>
            <w:r w:rsidRPr="001D4C12">
              <w:rPr>
                <w:rFonts w:eastAsia="Times New Roman" w:cs="Calibri"/>
                <w:b/>
                <w:bCs/>
                <w:sz w:val="20"/>
                <w:szCs w:val="20"/>
                <w:lang w:val="en-US"/>
              </w:rPr>
              <w:t>вътрешни пазари</w:t>
            </w:r>
          </w:p>
        </w:tc>
        <w:tc>
          <w:tcPr>
            <w:tcW w:w="909" w:type="dxa"/>
            <w:tcBorders>
              <w:top w:val="nil"/>
              <w:left w:val="nil"/>
              <w:bottom w:val="single" w:sz="8" w:space="0" w:color="E26B0A"/>
              <w:right w:val="single" w:sz="8" w:space="0" w:color="E26B0A"/>
            </w:tcBorders>
            <w:shd w:val="clear" w:color="000000" w:fill="FABF8F"/>
            <w:hideMark/>
          </w:tcPr>
          <w:p w14:paraId="24A28DF3" w14:textId="77777777" w:rsidR="001D4C12" w:rsidRPr="001D4C12" w:rsidRDefault="001D4C12" w:rsidP="001D4C12">
            <w:pPr>
              <w:jc w:val="center"/>
              <w:rPr>
                <w:rFonts w:eastAsia="Times New Roman" w:cs="Calibri"/>
                <w:b/>
                <w:bCs/>
                <w:sz w:val="20"/>
                <w:szCs w:val="20"/>
                <w:lang w:val="en-US"/>
              </w:rPr>
            </w:pPr>
            <w:r w:rsidRPr="001D4C12">
              <w:rPr>
                <w:rFonts w:eastAsia="Times New Roman" w:cs="Calibri"/>
                <w:b/>
                <w:bCs/>
                <w:sz w:val="20"/>
                <w:szCs w:val="20"/>
                <w:lang w:val="en-US"/>
              </w:rPr>
              <w:t>външни пазари</w:t>
            </w:r>
          </w:p>
        </w:tc>
        <w:tc>
          <w:tcPr>
            <w:tcW w:w="945" w:type="dxa"/>
            <w:tcBorders>
              <w:top w:val="nil"/>
              <w:left w:val="nil"/>
              <w:bottom w:val="single" w:sz="8" w:space="0" w:color="E26B0A"/>
              <w:right w:val="single" w:sz="8" w:space="0" w:color="E26B0A"/>
            </w:tcBorders>
            <w:shd w:val="clear" w:color="000000" w:fill="FABF8F"/>
            <w:hideMark/>
          </w:tcPr>
          <w:p w14:paraId="0B2C6944" w14:textId="77777777" w:rsidR="001D4C12" w:rsidRPr="001D4C12" w:rsidRDefault="001D4C12" w:rsidP="001D4C12">
            <w:pPr>
              <w:jc w:val="center"/>
              <w:rPr>
                <w:rFonts w:eastAsia="Times New Roman" w:cs="Calibri"/>
                <w:b/>
                <w:bCs/>
                <w:sz w:val="20"/>
                <w:szCs w:val="20"/>
                <w:lang w:val="en-US"/>
              </w:rPr>
            </w:pPr>
            <w:r w:rsidRPr="001D4C12">
              <w:rPr>
                <w:rFonts w:eastAsia="Times New Roman" w:cs="Calibri"/>
                <w:b/>
                <w:bCs/>
                <w:sz w:val="20"/>
                <w:szCs w:val="20"/>
                <w:lang w:val="en-US"/>
              </w:rPr>
              <w:t>вътрешни пазари</w:t>
            </w:r>
          </w:p>
        </w:tc>
      </w:tr>
      <w:tr w:rsidR="001D4C12" w:rsidRPr="001D4C12" w14:paraId="60A64114" w14:textId="77777777" w:rsidTr="009A475F">
        <w:trPr>
          <w:trHeight w:val="288"/>
        </w:trPr>
        <w:tc>
          <w:tcPr>
            <w:tcW w:w="3460" w:type="dxa"/>
            <w:tcBorders>
              <w:top w:val="nil"/>
              <w:left w:val="single" w:sz="8" w:space="0" w:color="E26B0A"/>
              <w:bottom w:val="single" w:sz="8" w:space="0" w:color="E26B0A"/>
              <w:right w:val="single" w:sz="8" w:space="0" w:color="E26B0A"/>
            </w:tcBorders>
            <w:shd w:val="clear" w:color="000000" w:fill="FDE9D9"/>
            <w:noWrap/>
            <w:vAlign w:val="center"/>
            <w:hideMark/>
          </w:tcPr>
          <w:p w14:paraId="3CA05267" w14:textId="77777777" w:rsidR="001D4C12" w:rsidRPr="001D4C12" w:rsidRDefault="001D4C12" w:rsidP="001D4C12">
            <w:pPr>
              <w:jc w:val="both"/>
              <w:rPr>
                <w:rFonts w:eastAsia="Times New Roman" w:cs="Calibri"/>
                <w:color w:val="000000"/>
                <w:sz w:val="20"/>
                <w:szCs w:val="20"/>
                <w:lang w:val="en-US"/>
              </w:rPr>
            </w:pPr>
            <w:r w:rsidRPr="001D4C12">
              <w:rPr>
                <w:rFonts w:eastAsia="Times New Roman" w:cs="Calibri"/>
                <w:color w:val="000000"/>
                <w:sz w:val="20"/>
                <w:szCs w:val="20"/>
              </w:rPr>
              <w:t xml:space="preserve">Приходи от медицински услуги </w:t>
            </w:r>
          </w:p>
        </w:tc>
        <w:tc>
          <w:tcPr>
            <w:tcW w:w="909" w:type="dxa"/>
            <w:tcBorders>
              <w:top w:val="nil"/>
              <w:left w:val="nil"/>
              <w:bottom w:val="single" w:sz="8" w:space="0" w:color="E26B0A"/>
              <w:right w:val="single" w:sz="8" w:space="0" w:color="E26B0A"/>
            </w:tcBorders>
            <w:shd w:val="clear" w:color="000000" w:fill="FDE9D9"/>
            <w:hideMark/>
          </w:tcPr>
          <w:p w14:paraId="6D861773" w14:textId="77777777" w:rsidR="001D4C12" w:rsidRPr="001D4C12" w:rsidRDefault="001D4C12" w:rsidP="001D4C12">
            <w:pPr>
              <w:jc w:val="right"/>
              <w:rPr>
                <w:rFonts w:eastAsia="Times New Roman" w:cs="Calibri"/>
                <w:sz w:val="20"/>
                <w:szCs w:val="20"/>
                <w:lang w:val="en-US"/>
              </w:rPr>
            </w:pPr>
            <w:r w:rsidRPr="001D4C12">
              <w:rPr>
                <w:rFonts w:eastAsia="Times New Roman" w:cs="Calibri"/>
                <w:sz w:val="20"/>
                <w:szCs w:val="20"/>
                <w:lang w:val="en-US"/>
              </w:rPr>
              <w:t>0</w:t>
            </w:r>
          </w:p>
        </w:tc>
        <w:tc>
          <w:tcPr>
            <w:tcW w:w="1200" w:type="dxa"/>
            <w:tcBorders>
              <w:top w:val="nil"/>
              <w:left w:val="nil"/>
              <w:bottom w:val="single" w:sz="8" w:space="0" w:color="E26B0A"/>
              <w:right w:val="single" w:sz="8" w:space="0" w:color="E26B0A"/>
            </w:tcBorders>
            <w:shd w:val="clear" w:color="000000" w:fill="FDE9D9"/>
            <w:hideMark/>
          </w:tcPr>
          <w:p w14:paraId="4C3E9568" w14:textId="77777777" w:rsidR="001D4C12" w:rsidRPr="001D4C12" w:rsidRDefault="001D4C12" w:rsidP="001D4C12">
            <w:pPr>
              <w:jc w:val="right"/>
              <w:rPr>
                <w:rFonts w:eastAsia="Times New Roman" w:cs="Calibri"/>
                <w:sz w:val="20"/>
                <w:szCs w:val="20"/>
                <w:lang w:val="en-US"/>
              </w:rPr>
            </w:pPr>
            <w:r w:rsidRPr="001D4C12">
              <w:rPr>
                <w:rFonts w:eastAsia="Times New Roman" w:cs="Calibri"/>
                <w:sz w:val="20"/>
                <w:szCs w:val="20"/>
                <w:lang w:val="en-US"/>
              </w:rPr>
              <w:t>2153</w:t>
            </w:r>
          </w:p>
        </w:tc>
        <w:tc>
          <w:tcPr>
            <w:tcW w:w="1220" w:type="dxa"/>
            <w:tcBorders>
              <w:top w:val="nil"/>
              <w:left w:val="nil"/>
              <w:bottom w:val="single" w:sz="8" w:space="0" w:color="E26B0A"/>
              <w:right w:val="single" w:sz="8" w:space="0" w:color="E26B0A"/>
            </w:tcBorders>
            <w:shd w:val="clear" w:color="000000" w:fill="FDE9D9"/>
            <w:hideMark/>
          </w:tcPr>
          <w:p w14:paraId="17F68FB9" w14:textId="77777777" w:rsidR="001D4C12" w:rsidRPr="001D4C12" w:rsidRDefault="001D4C12" w:rsidP="001D4C12">
            <w:pPr>
              <w:jc w:val="right"/>
              <w:rPr>
                <w:rFonts w:eastAsia="Times New Roman" w:cs="Calibri"/>
                <w:sz w:val="20"/>
                <w:szCs w:val="20"/>
                <w:lang w:val="en-US"/>
              </w:rPr>
            </w:pPr>
            <w:r w:rsidRPr="001D4C12">
              <w:rPr>
                <w:rFonts w:eastAsia="Times New Roman" w:cs="Calibri"/>
                <w:sz w:val="20"/>
                <w:szCs w:val="20"/>
                <w:lang w:val="en-US"/>
              </w:rPr>
              <w:t>0</w:t>
            </w:r>
          </w:p>
        </w:tc>
        <w:tc>
          <w:tcPr>
            <w:tcW w:w="1280" w:type="dxa"/>
            <w:tcBorders>
              <w:top w:val="nil"/>
              <w:left w:val="nil"/>
              <w:bottom w:val="single" w:sz="8" w:space="0" w:color="E26B0A"/>
              <w:right w:val="single" w:sz="8" w:space="0" w:color="E26B0A"/>
            </w:tcBorders>
            <w:shd w:val="clear" w:color="000000" w:fill="FDE9D9"/>
            <w:hideMark/>
          </w:tcPr>
          <w:p w14:paraId="68F476FC" w14:textId="77777777" w:rsidR="001D4C12" w:rsidRPr="001D4C12" w:rsidRDefault="001D4C12" w:rsidP="001D4C12">
            <w:pPr>
              <w:jc w:val="right"/>
              <w:rPr>
                <w:rFonts w:eastAsia="Times New Roman" w:cs="Calibri"/>
                <w:sz w:val="20"/>
                <w:szCs w:val="20"/>
                <w:lang w:val="en-US"/>
              </w:rPr>
            </w:pPr>
            <w:r w:rsidRPr="001D4C12">
              <w:rPr>
                <w:rFonts w:eastAsia="Times New Roman" w:cs="Calibri"/>
                <w:sz w:val="20"/>
                <w:szCs w:val="20"/>
                <w:lang w:val="en-US"/>
              </w:rPr>
              <w:t>1733</w:t>
            </w:r>
          </w:p>
        </w:tc>
        <w:tc>
          <w:tcPr>
            <w:tcW w:w="909" w:type="dxa"/>
            <w:tcBorders>
              <w:top w:val="nil"/>
              <w:left w:val="nil"/>
              <w:bottom w:val="single" w:sz="8" w:space="0" w:color="E26B0A"/>
              <w:right w:val="single" w:sz="8" w:space="0" w:color="E26B0A"/>
            </w:tcBorders>
            <w:shd w:val="clear" w:color="000000" w:fill="FDE9D9"/>
            <w:hideMark/>
          </w:tcPr>
          <w:p w14:paraId="05858608" w14:textId="77777777" w:rsidR="001D4C12" w:rsidRPr="001D4C12" w:rsidRDefault="001D4C12" w:rsidP="001D4C12">
            <w:pPr>
              <w:jc w:val="right"/>
              <w:rPr>
                <w:rFonts w:eastAsia="Times New Roman" w:cs="Calibri"/>
                <w:sz w:val="20"/>
                <w:szCs w:val="20"/>
                <w:lang w:val="en-US"/>
              </w:rPr>
            </w:pPr>
            <w:r w:rsidRPr="001D4C12">
              <w:rPr>
                <w:rFonts w:eastAsia="Times New Roman" w:cs="Calibri"/>
                <w:sz w:val="20"/>
                <w:szCs w:val="20"/>
                <w:lang w:val="en-US"/>
              </w:rPr>
              <w:t>0%</w:t>
            </w:r>
          </w:p>
        </w:tc>
        <w:tc>
          <w:tcPr>
            <w:tcW w:w="945" w:type="dxa"/>
            <w:tcBorders>
              <w:top w:val="nil"/>
              <w:left w:val="nil"/>
              <w:bottom w:val="single" w:sz="8" w:space="0" w:color="E26B0A"/>
              <w:right w:val="single" w:sz="8" w:space="0" w:color="E26B0A"/>
            </w:tcBorders>
            <w:shd w:val="clear" w:color="000000" w:fill="FDE9D9"/>
            <w:hideMark/>
          </w:tcPr>
          <w:p w14:paraId="6E738445" w14:textId="77777777" w:rsidR="001D4C12" w:rsidRPr="001D4C12" w:rsidRDefault="001D4C12" w:rsidP="001D4C12">
            <w:pPr>
              <w:jc w:val="right"/>
              <w:rPr>
                <w:rFonts w:eastAsia="Times New Roman" w:cs="Calibri"/>
                <w:sz w:val="20"/>
                <w:szCs w:val="20"/>
                <w:lang w:val="en-US"/>
              </w:rPr>
            </w:pPr>
            <w:r w:rsidRPr="001D4C12">
              <w:rPr>
                <w:rFonts w:eastAsia="Times New Roman" w:cs="Calibri"/>
                <w:sz w:val="20"/>
                <w:szCs w:val="20"/>
                <w:lang w:val="en-US"/>
              </w:rPr>
              <w:t>124%</w:t>
            </w:r>
          </w:p>
        </w:tc>
      </w:tr>
      <w:tr w:rsidR="001D4C12" w:rsidRPr="001D4C12" w14:paraId="541B5521" w14:textId="77777777" w:rsidTr="009A475F">
        <w:trPr>
          <w:trHeight w:val="264"/>
        </w:trPr>
        <w:tc>
          <w:tcPr>
            <w:tcW w:w="3460" w:type="dxa"/>
            <w:tcBorders>
              <w:top w:val="nil"/>
              <w:left w:val="single" w:sz="8" w:space="0" w:color="E26B0A"/>
              <w:bottom w:val="single" w:sz="8" w:space="0" w:color="E26B0A"/>
              <w:right w:val="single" w:sz="8" w:space="0" w:color="E26B0A"/>
            </w:tcBorders>
            <w:shd w:val="clear" w:color="000000" w:fill="FDE9D9"/>
            <w:noWrap/>
            <w:vAlign w:val="center"/>
            <w:hideMark/>
          </w:tcPr>
          <w:p w14:paraId="651B7966" w14:textId="77777777" w:rsidR="001D4C12" w:rsidRPr="001D4C12" w:rsidRDefault="001D4C12" w:rsidP="001D4C12">
            <w:pPr>
              <w:jc w:val="both"/>
              <w:rPr>
                <w:rFonts w:eastAsia="Times New Roman" w:cs="Calibri"/>
                <w:color w:val="000000"/>
                <w:sz w:val="20"/>
                <w:szCs w:val="20"/>
                <w:lang w:val="en-US"/>
              </w:rPr>
            </w:pPr>
            <w:r w:rsidRPr="001D4C12">
              <w:rPr>
                <w:rFonts w:eastAsia="Times New Roman" w:cs="Calibri"/>
                <w:color w:val="000000"/>
                <w:sz w:val="20"/>
                <w:szCs w:val="20"/>
              </w:rPr>
              <w:t xml:space="preserve">Наеми </w:t>
            </w:r>
          </w:p>
        </w:tc>
        <w:tc>
          <w:tcPr>
            <w:tcW w:w="909" w:type="dxa"/>
            <w:tcBorders>
              <w:top w:val="nil"/>
              <w:left w:val="nil"/>
              <w:bottom w:val="single" w:sz="8" w:space="0" w:color="E26B0A"/>
              <w:right w:val="single" w:sz="8" w:space="0" w:color="E26B0A"/>
            </w:tcBorders>
            <w:shd w:val="clear" w:color="000000" w:fill="FDE9D9"/>
            <w:hideMark/>
          </w:tcPr>
          <w:p w14:paraId="6A0D35CA" w14:textId="77777777" w:rsidR="001D4C12" w:rsidRPr="001D4C12" w:rsidRDefault="001D4C12" w:rsidP="001D4C12">
            <w:pPr>
              <w:jc w:val="right"/>
              <w:rPr>
                <w:rFonts w:eastAsia="Times New Roman" w:cs="Calibri"/>
                <w:sz w:val="20"/>
                <w:szCs w:val="20"/>
                <w:lang w:val="en-US"/>
              </w:rPr>
            </w:pPr>
            <w:r w:rsidRPr="001D4C12">
              <w:rPr>
                <w:rFonts w:eastAsia="Times New Roman" w:cs="Calibri"/>
                <w:sz w:val="20"/>
                <w:szCs w:val="20"/>
                <w:lang w:val="en-US"/>
              </w:rPr>
              <w:t>0</w:t>
            </w:r>
          </w:p>
        </w:tc>
        <w:tc>
          <w:tcPr>
            <w:tcW w:w="1200" w:type="dxa"/>
            <w:tcBorders>
              <w:top w:val="nil"/>
              <w:left w:val="nil"/>
              <w:bottom w:val="single" w:sz="8" w:space="0" w:color="E26B0A"/>
              <w:right w:val="single" w:sz="8" w:space="0" w:color="E26B0A"/>
            </w:tcBorders>
            <w:shd w:val="clear" w:color="000000" w:fill="FDE9D9"/>
            <w:hideMark/>
          </w:tcPr>
          <w:p w14:paraId="17D56A44" w14:textId="77777777" w:rsidR="001D4C12" w:rsidRPr="001D4C12" w:rsidRDefault="001D4C12" w:rsidP="001D4C12">
            <w:pPr>
              <w:jc w:val="right"/>
              <w:rPr>
                <w:rFonts w:eastAsia="Times New Roman" w:cs="Calibri"/>
                <w:sz w:val="20"/>
                <w:szCs w:val="20"/>
                <w:lang w:val="en-US"/>
              </w:rPr>
            </w:pPr>
            <w:r w:rsidRPr="001D4C12">
              <w:rPr>
                <w:rFonts w:eastAsia="Times New Roman" w:cs="Calibri"/>
                <w:sz w:val="20"/>
                <w:szCs w:val="20"/>
                <w:lang w:val="en-US"/>
              </w:rPr>
              <w:t>80</w:t>
            </w:r>
          </w:p>
        </w:tc>
        <w:tc>
          <w:tcPr>
            <w:tcW w:w="1220" w:type="dxa"/>
            <w:tcBorders>
              <w:top w:val="nil"/>
              <w:left w:val="nil"/>
              <w:bottom w:val="single" w:sz="8" w:space="0" w:color="E26B0A"/>
              <w:right w:val="single" w:sz="8" w:space="0" w:color="E26B0A"/>
            </w:tcBorders>
            <w:shd w:val="clear" w:color="000000" w:fill="FDE9D9"/>
            <w:hideMark/>
          </w:tcPr>
          <w:p w14:paraId="715A6B0C" w14:textId="77777777" w:rsidR="001D4C12" w:rsidRPr="001D4C12" w:rsidRDefault="001D4C12" w:rsidP="001D4C12">
            <w:pPr>
              <w:jc w:val="right"/>
              <w:rPr>
                <w:rFonts w:eastAsia="Times New Roman" w:cs="Calibri"/>
                <w:sz w:val="20"/>
                <w:szCs w:val="20"/>
                <w:lang w:val="en-US"/>
              </w:rPr>
            </w:pPr>
            <w:r w:rsidRPr="001D4C12">
              <w:rPr>
                <w:rFonts w:eastAsia="Times New Roman" w:cs="Calibri"/>
                <w:sz w:val="20"/>
                <w:szCs w:val="20"/>
                <w:lang w:val="en-US"/>
              </w:rPr>
              <w:t>0</w:t>
            </w:r>
          </w:p>
        </w:tc>
        <w:tc>
          <w:tcPr>
            <w:tcW w:w="1280" w:type="dxa"/>
            <w:tcBorders>
              <w:top w:val="nil"/>
              <w:left w:val="nil"/>
              <w:bottom w:val="single" w:sz="8" w:space="0" w:color="E26B0A"/>
              <w:right w:val="single" w:sz="8" w:space="0" w:color="E26B0A"/>
            </w:tcBorders>
            <w:shd w:val="clear" w:color="000000" w:fill="FDE9D9"/>
            <w:hideMark/>
          </w:tcPr>
          <w:p w14:paraId="34C99BFA" w14:textId="77777777" w:rsidR="001D4C12" w:rsidRPr="001D4C12" w:rsidRDefault="001D4C12" w:rsidP="001D4C12">
            <w:pPr>
              <w:jc w:val="right"/>
              <w:rPr>
                <w:rFonts w:eastAsia="Times New Roman" w:cs="Calibri"/>
                <w:sz w:val="20"/>
                <w:szCs w:val="20"/>
                <w:lang w:val="en-US"/>
              </w:rPr>
            </w:pPr>
            <w:r w:rsidRPr="001D4C12">
              <w:rPr>
                <w:rFonts w:eastAsia="Times New Roman" w:cs="Calibri"/>
                <w:sz w:val="20"/>
                <w:szCs w:val="20"/>
                <w:lang w:val="en-US"/>
              </w:rPr>
              <w:t>83</w:t>
            </w:r>
          </w:p>
        </w:tc>
        <w:tc>
          <w:tcPr>
            <w:tcW w:w="909" w:type="dxa"/>
            <w:tcBorders>
              <w:top w:val="nil"/>
              <w:left w:val="nil"/>
              <w:bottom w:val="single" w:sz="8" w:space="0" w:color="E26B0A"/>
              <w:right w:val="single" w:sz="8" w:space="0" w:color="E26B0A"/>
            </w:tcBorders>
            <w:shd w:val="clear" w:color="000000" w:fill="FDE9D9"/>
            <w:hideMark/>
          </w:tcPr>
          <w:p w14:paraId="35719FF6" w14:textId="77777777" w:rsidR="001D4C12" w:rsidRPr="001D4C12" w:rsidRDefault="001D4C12" w:rsidP="001D4C12">
            <w:pPr>
              <w:jc w:val="right"/>
              <w:rPr>
                <w:rFonts w:eastAsia="Times New Roman" w:cs="Calibri"/>
                <w:sz w:val="20"/>
                <w:szCs w:val="20"/>
                <w:lang w:val="en-US"/>
              </w:rPr>
            </w:pPr>
            <w:r w:rsidRPr="001D4C12">
              <w:rPr>
                <w:rFonts w:eastAsia="Times New Roman" w:cs="Calibri"/>
                <w:sz w:val="20"/>
                <w:szCs w:val="20"/>
                <w:lang w:val="en-US"/>
              </w:rPr>
              <w:t>0%</w:t>
            </w:r>
          </w:p>
        </w:tc>
        <w:tc>
          <w:tcPr>
            <w:tcW w:w="945" w:type="dxa"/>
            <w:tcBorders>
              <w:top w:val="nil"/>
              <w:left w:val="nil"/>
              <w:bottom w:val="single" w:sz="8" w:space="0" w:color="E26B0A"/>
              <w:right w:val="single" w:sz="8" w:space="0" w:color="E26B0A"/>
            </w:tcBorders>
            <w:shd w:val="clear" w:color="000000" w:fill="FDE9D9"/>
            <w:hideMark/>
          </w:tcPr>
          <w:p w14:paraId="6312678C" w14:textId="77777777" w:rsidR="001D4C12" w:rsidRPr="001D4C12" w:rsidRDefault="001D4C12" w:rsidP="001D4C12">
            <w:pPr>
              <w:jc w:val="right"/>
              <w:rPr>
                <w:rFonts w:eastAsia="Times New Roman" w:cs="Calibri"/>
                <w:sz w:val="20"/>
                <w:szCs w:val="20"/>
                <w:lang w:val="en-US"/>
              </w:rPr>
            </w:pPr>
            <w:r w:rsidRPr="001D4C12">
              <w:rPr>
                <w:rFonts w:eastAsia="Times New Roman" w:cs="Calibri"/>
                <w:sz w:val="20"/>
                <w:szCs w:val="20"/>
                <w:lang w:val="en-US"/>
              </w:rPr>
              <w:t>96%</w:t>
            </w:r>
          </w:p>
        </w:tc>
      </w:tr>
      <w:tr w:rsidR="001D4C12" w:rsidRPr="001D4C12" w14:paraId="3527CB0B" w14:textId="77777777" w:rsidTr="009A475F">
        <w:trPr>
          <w:trHeight w:val="288"/>
        </w:trPr>
        <w:tc>
          <w:tcPr>
            <w:tcW w:w="3460" w:type="dxa"/>
            <w:tcBorders>
              <w:top w:val="nil"/>
              <w:left w:val="single" w:sz="8" w:space="0" w:color="E26B0A"/>
              <w:bottom w:val="single" w:sz="8" w:space="0" w:color="E26B0A"/>
              <w:right w:val="single" w:sz="8" w:space="0" w:color="E26B0A"/>
            </w:tcBorders>
            <w:shd w:val="clear" w:color="000000" w:fill="FDE9D9"/>
            <w:noWrap/>
            <w:vAlign w:val="bottom"/>
            <w:hideMark/>
          </w:tcPr>
          <w:p w14:paraId="5ABE270B" w14:textId="77777777" w:rsidR="001D4C12" w:rsidRPr="001D4C12" w:rsidRDefault="001D4C12" w:rsidP="001D4C12">
            <w:pPr>
              <w:rPr>
                <w:rFonts w:eastAsia="Times New Roman" w:cs="Calibri"/>
                <w:b/>
                <w:bCs/>
                <w:sz w:val="20"/>
                <w:szCs w:val="20"/>
                <w:lang w:val="en-US"/>
              </w:rPr>
            </w:pPr>
            <w:r w:rsidRPr="001D4C12">
              <w:rPr>
                <w:rFonts w:eastAsia="Times New Roman" w:cs="Calibri"/>
                <w:b/>
                <w:bCs/>
                <w:sz w:val="20"/>
                <w:szCs w:val="20"/>
                <w:lang w:val="en-US"/>
              </w:rPr>
              <w:t>Общо приходи от продажби</w:t>
            </w:r>
          </w:p>
        </w:tc>
        <w:tc>
          <w:tcPr>
            <w:tcW w:w="909" w:type="dxa"/>
            <w:tcBorders>
              <w:top w:val="nil"/>
              <w:left w:val="nil"/>
              <w:bottom w:val="single" w:sz="8" w:space="0" w:color="E26B0A"/>
              <w:right w:val="single" w:sz="8" w:space="0" w:color="E26B0A"/>
            </w:tcBorders>
            <w:shd w:val="clear" w:color="000000" w:fill="FDE9D9"/>
            <w:noWrap/>
            <w:vAlign w:val="bottom"/>
            <w:hideMark/>
          </w:tcPr>
          <w:p w14:paraId="4BECC403" w14:textId="77777777" w:rsidR="001D4C12" w:rsidRPr="001D4C12" w:rsidRDefault="001D4C12" w:rsidP="001D4C12">
            <w:pPr>
              <w:jc w:val="right"/>
              <w:rPr>
                <w:rFonts w:eastAsia="Times New Roman" w:cs="Calibri"/>
                <w:b/>
                <w:bCs/>
                <w:sz w:val="20"/>
                <w:szCs w:val="20"/>
                <w:lang w:val="en-US"/>
              </w:rPr>
            </w:pPr>
            <w:r w:rsidRPr="001D4C12">
              <w:rPr>
                <w:rFonts w:eastAsia="Times New Roman" w:cs="Calibri"/>
                <w:b/>
                <w:bCs/>
                <w:sz w:val="20"/>
                <w:szCs w:val="20"/>
                <w:lang w:val="en-US"/>
              </w:rPr>
              <w:t>0</w:t>
            </w:r>
          </w:p>
        </w:tc>
        <w:tc>
          <w:tcPr>
            <w:tcW w:w="1200" w:type="dxa"/>
            <w:tcBorders>
              <w:top w:val="nil"/>
              <w:left w:val="nil"/>
              <w:bottom w:val="single" w:sz="8" w:space="0" w:color="E26B0A"/>
              <w:right w:val="single" w:sz="8" w:space="0" w:color="E26B0A"/>
            </w:tcBorders>
            <w:shd w:val="clear" w:color="000000" w:fill="FDE9D9"/>
            <w:noWrap/>
            <w:vAlign w:val="bottom"/>
            <w:hideMark/>
          </w:tcPr>
          <w:p w14:paraId="552879F6" w14:textId="77777777" w:rsidR="001D4C12" w:rsidRPr="001D4C12" w:rsidRDefault="001D4C12" w:rsidP="001D4C12">
            <w:pPr>
              <w:jc w:val="right"/>
              <w:rPr>
                <w:rFonts w:eastAsia="Times New Roman" w:cs="Calibri"/>
                <w:b/>
                <w:bCs/>
                <w:sz w:val="20"/>
                <w:szCs w:val="20"/>
                <w:lang w:val="en-US"/>
              </w:rPr>
            </w:pPr>
            <w:r w:rsidRPr="001D4C12">
              <w:rPr>
                <w:rFonts w:eastAsia="Times New Roman" w:cs="Calibri"/>
                <w:b/>
                <w:bCs/>
                <w:sz w:val="20"/>
                <w:szCs w:val="20"/>
                <w:lang w:val="en-US"/>
              </w:rPr>
              <w:t>2233</w:t>
            </w:r>
          </w:p>
        </w:tc>
        <w:tc>
          <w:tcPr>
            <w:tcW w:w="1220" w:type="dxa"/>
            <w:tcBorders>
              <w:top w:val="nil"/>
              <w:left w:val="nil"/>
              <w:bottom w:val="single" w:sz="8" w:space="0" w:color="E26B0A"/>
              <w:right w:val="single" w:sz="8" w:space="0" w:color="E26B0A"/>
            </w:tcBorders>
            <w:shd w:val="clear" w:color="000000" w:fill="FDE9D9"/>
            <w:noWrap/>
            <w:vAlign w:val="bottom"/>
            <w:hideMark/>
          </w:tcPr>
          <w:p w14:paraId="0CDBA82A" w14:textId="77777777" w:rsidR="001D4C12" w:rsidRPr="001D4C12" w:rsidRDefault="001D4C12" w:rsidP="001D4C12">
            <w:pPr>
              <w:jc w:val="right"/>
              <w:rPr>
                <w:rFonts w:eastAsia="Times New Roman" w:cs="Calibri"/>
                <w:b/>
                <w:bCs/>
                <w:sz w:val="20"/>
                <w:szCs w:val="20"/>
                <w:lang w:val="en-US"/>
              </w:rPr>
            </w:pPr>
            <w:r w:rsidRPr="001D4C12">
              <w:rPr>
                <w:rFonts w:eastAsia="Times New Roman" w:cs="Calibri"/>
                <w:b/>
                <w:bCs/>
                <w:sz w:val="20"/>
                <w:szCs w:val="20"/>
                <w:lang w:val="en-US"/>
              </w:rPr>
              <w:t>0</w:t>
            </w:r>
          </w:p>
        </w:tc>
        <w:tc>
          <w:tcPr>
            <w:tcW w:w="1280" w:type="dxa"/>
            <w:tcBorders>
              <w:top w:val="nil"/>
              <w:left w:val="nil"/>
              <w:bottom w:val="single" w:sz="8" w:space="0" w:color="E26B0A"/>
              <w:right w:val="single" w:sz="8" w:space="0" w:color="E26B0A"/>
            </w:tcBorders>
            <w:shd w:val="clear" w:color="000000" w:fill="FDE9D9"/>
            <w:noWrap/>
            <w:vAlign w:val="bottom"/>
            <w:hideMark/>
          </w:tcPr>
          <w:p w14:paraId="61CF05E8" w14:textId="77777777" w:rsidR="001D4C12" w:rsidRPr="001D4C12" w:rsidRDefault="001D4C12" w:rsidP="001D4C12">
            <w:pPr>
              <w:jc w:val="right"/>
              <w:rPr>
                <w:rFonts w:eastAsia="Times New Roman" w:cs="Calibri"/>
                <w:b/>
                <w:bCs/>
                <w:sz w:val="20"/>
                <w:szCs w:val="20"/>
                <w:lang w:val="en-US"/>
              </w:rPr>
            </w:pPr>
            <w:r w:rsidRPr="001D4C12">
              <w:rPr>
                <w:rFonts w:eastAsia="Times New Roman" w:cs="Calibri"/>
                <w:b/>
                <w:bCs/>
                <w:sz w:val="20"/>
                <w:szCs w:val="20"/>
                <w:lang w:val="en-US"/>
              </w:rPr>
              <w:t>1816</w:t>
            </w:r>
          </w:p>
        </w:tc>
        <w:tc>
          <w:tcPr>
            <w:tcW w:w="909" w:type="dxa"/>
            <w:tcBorders>
              <w:top w:val="nil"/>
              <w:left w:val="nil"/>
              <w:bottom w:val="single" w:sz="8" w:space="0" w:color="E26B0A"/>
              <w:right w:val="single" w:sz="8" w:space="0" w:color="E26B0A"/>
            </w:tcBorders>
            <w:shd w:val="clear" w:color="000000" w:fill="FDE9D9"/>
            <w:hideMark/>
          </w:tcPr>
          <w:p w14:paraId="5E228D64" w14:textId="77777777" w:rsidR="001D4C12" w:rsidRPr="001D4C12" w:rsidRDefault="001D4C12" w:rsidP="001D4C12">
            <w:pPr>
              <w:jc w:val="right"/>
              <w:rPr>
                <w:rFonts w:eastAsia="Times New Roman" w:cs="Calibri"/>
                <w:b/>
                <w:bCs/>
                <w:sz w:val="20"/>
                <w:szCs w:val="20"/>
                <w:lang w:val="en-US"/>
              </w:rPr>
            </w:pPr>
            <w:r w:rsidRPr="001D4C12">
              <w:rPr>
                <w:rFonts w:eastAsia="Times New Roman" w:cs="Calibri"/>
                <w:b/>
                <w:bCs/>
                <w:sz w:val="20"/>
                <w:szCs w:val="20"/>
                <w:lang w:val="en-US"/>
              </w:rPr>
              <w:t>0%</w:t>
            </w:r>
          </w:p>
        </w:tc>
        <w:tc>
          <w:tcPr>
            <w:tcW w:w="945" w:type="dxa"/>
            <w:tcBorders>
              <w:top w:val="nil"/>
              <w:left w:val="nil"/>
              <w:bottom w:val="single" w:sz="8" w:space="0" w:color="E26B0A"/>
              <w:right w:val="single" w:sz="8" w:space="0" w:color="E26B0A"/>
            </w:tcBorders>
            <w:shd w:val="clear" w:color="000000" w:fill="FDE9D9"/>
            <w:noWrap/>
            <w:vAlign w:val="bottom"/>
            <w:hideMark/>
          </w:tcPr>
          <w:p w14:paraId="6E9715AF" w14:textId="77777777" w:rsidR="001D4C12" w:rsidRPr="001D4C12" w:rsidRDefault="001D4C12" w:rsidP="001D4C12">
            <w:pPr>
              <w:jc w:val="right"/>
              <w:rPr>
                <w:rFonts w:eastAsia="Times New Roman" w:cs="Calibri"/>
                <w:b/>
                <w:bCs/>
                <w:sz w:val="20"/>
                <w:szCs w:val="20"/>
                <w:lang w:val="en-US"/>
              </w:rPr>
            </w:pPr>
            <w:r w:rsidRPr="001D4C12">
              <w:rPr>
                <w:rFonts w:eastAsia="Times New Roman" w:cs="Calibri"/>
                <w:b/>
                <w:bCs/>
                <w:sz w:val="20"/>
                <w:szCs w:val="20"/>
                <w:lang w:val="en-US"/>
              </w:rPr>
              <w:t>123%</w:t>
            </w:r>
          </w:p>
        </w:tc>
      </w:tr>
    </w:tbl>
    <w:p w14:paraId="7EBF27DC" w14:textId="629198CB" w:rsidR="0047438C" w:rsidRDefault="0047438C" w:rsidP="005D27D6">
      <w:pPr>
        <w:pStyle w:val="BodyText"/>
        <w:ind w:right="180"/>
        <w:jc w:val="both"/>
        <w:rPr>
          <w:rFonts w:ascii="Calibri" w:hAnsi="Calibri"/>
          <w:sz w:val="22"/>
          <w:lang w:val="en-US"/>
        </w:rPr>
      </w:pPr>
    </w:p>
    <w:p w14:paraId="069FA0E1" w14:textId="34EB9841" w:rsidR="001D4C12" w:rsidRDefault="001D4C12" w:rsidP="005D27D6">
      <w:pPr>
        <w:pStyle w:val="BodyText"/>
        <w:ind w:right="180"/>
        <w:jc w:val="both"/>
        <w:rPr>
          <w:rFonts w:ascii="Calibri" w:hAnsi="Calibri"/>
          <w:sz w:val="22"/>
          <w:lang w:val="en-US"/>
        </w:rPr>
      </w:pPr>
    </w:p>
    <w:p w14:paraId="4D3CB826" w14:textId="27AE5739" w:rsidR="001D4C12" w:rsidRDefault="001D4C12" w:rsidP="001D4C12">
      <w:pPr>
        <w:pStyle w:val="BodyText"/>
        <w:ind w:right="180" w:firstLine="708"/>
        <w:jc w:val="both"/>
        <w:rPr>
          <w:rFonts w:ascii="Calibri" w:hAnsi="Calibri"/>
          <w:sz w:val="22"/>
          <w:lang w:val="en-US"/>
        </w:rPr>
      </w:pPr>
      <w:r>
        <w:rPr>
          <w:noProof/>
          <w:lang w:eastAsia="bg-BG"/>
        </w:rPr>
        <w:drawing>
          <wp:inline distT="0" distB="0" distL="0" distR="0" wp14:anchorId="6654EED6" wp14:editId="438DAACF">
            <wp:extent cx="5349240" cy="2987040"/>
            <wp:effectExtent l="57150" t="0" r="60960" b="118110"/>
            <wp:docPr id="5541" name="Chart 554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EB240D3-1822-41DA-8966-68CB17DE6E7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73BD6EF4" w14:textId="455679CE" w:rsidR="001D4C12" w:rsidRDefault="001D4C12" w:rsidP="005D27D6">
      <w:pPr>
        <w:pStyle w:val="BodyText"/>
        <w:ind w:right="180"/>
        <w:jc w:val="both"/>
        <w:rPr>
          <w:rFonts w:ascii="Calibri" w:hAnsi="Calibri"/>
          <w:sz w:val="22"/>
          <w:lang w:val="en-US"/>
        </w:rPr>
      </w:pPr>
    </w:p>
    <w:p w14:paraId="70EED679" w14:textId="6946B098" w:rsidR="00BE2DA3" w:rsidRPr="00BE2DA3" w:rsidRDefault="00986B2F" w:rsidP="00965ADD">
      <w:pPr>
        <w:pStyle w:val="BodyText"/>
        <w:jc w:val="both"/>
        <w:rPr>
          <w:rFonts w:ascii="Calibri" w:hAnsi="Calibri" w:cs="Calibri"/>
          <w:sz w:val="22"/>
          <w:szCs w:val="22"/>
        </w:rPr>
      </w:pPr>
      <w:r w:rsidRPr="00BE2DA3">
        <w:rPr>
          <w:rFonts w:ascii="Calibri" w:hAnsi="Calibri" w:cs="Calibri"/>
          <w:sz w:val="22"/>
          <w:szCs w:val="22"/>
        </w:rPr>
        <w:t>Основни</w:t>
      </w:r>
      <w:r w:rsidR="004235C0" w:rsidRPr="00BE2DA3">
        <w:rPr>
          <w:rFonts w:ascii="Calibri" w:hAnsi="Calibri" w:cs="Calibri"/>
          <w:sz w:val="22"/>
          <w:szCs w:val="22"/>
        </w:rPr>
        <w:t>те</w:t>
      </w:r>
      <w:r w:rsidRPr="00BE2DA3">
        <w:rPr>
          <w:rFonts w:ascii="Calibri" w:hAnsi="Calibri" w:cs="Calibri"/>
          <w:sz w:val="22"/>
          <w:szCs w:val="22"/>
        </w:rPr>
        <w:t xml:space="preserve"> клиенти на  “</w:t>
      </w:r>
      <w:r w:rsidR="009C5D0B" w:rsidRPr="00BE2DA3">
        <w:rPr>
          <w:rFonts w:ascii="Calibri" w:hAnsi="Calibri" w:cs="Calibri"/>
          <w:sz w:val="22"/>
          <w:szCs w:val="22"/>
        </w:rPr>
        <w:t xml:space="preserve"> ДКЦ Чайка </w:t>
      </w:r>
      <w:r w:rsidR="00FE1938" w:rsidRPr="00BE2DA3">
        <w:rPr>
          <w:rFonts w:ascii="Calibri" w:hAnsi="Calibri" w:cs="Calibri"/>
          <w:sz w:val="22"/>
          <w:szCs w:val="22"/>
        </w:rPr>
        <w:t>”</w:t>
      </w:r>
      <w:r w:rsidR="009C5D0B" w:rsidRPr="00BE2DA3">
        <w:rPr>
          <w:rFonts w:ascii="Calibri" w:hAnsi="Calibri" w:cs="Calibri"/>
          <w:sz w:val="22"/>
          <w:szCs w:val="22"/>
        </w:rPr>
        <w:t>Е</w:t>
      </w:r>
      <w:r w:rsidR="00FE1938" w:rsidRPr="00BE2DA3">
        <w:rPr>
          <w:rFonts w:ascii="Calibri" w:hAnsi="Calibri" w:cs="Calibri"/>
          <w:sz w:val="22"/>
          <w:szCs w:val="22"/>
        </w:rPr>
        <w:t>ОО</w:t>
      </w:r>
      <w:r w:rsidRPr="00BE2DA3">
        <w:rPr>
          <w:rFonts w:ascii="Calibri" w:hAnsi="Calibri" w:cs="Calibri"/>
          <w:sz w:val="22"/>
          <w:szCs w:val="22"/>
        </w:rPr>
        <w:t>Д</w:t>
      </w:r>
      <w:r w:rsidR="004235C0" w:rsidRPr="00BE2DA3">
        <w:rPr>
          <w:rFonts w:ascii="Calibri" w:hAnsi="Calibri" w:cs="Calibri"/>
          <w:sz w:val="22"/>
          <w:szCs w:val="22"/>
        </w:rPr>
        <w:t xml:space="preserve">, </w:t>
      </w:r>
      <w:r w:rsidRPr="00BE2DA3">
        <w:rPr>
          <w:rFonts w:ascii="Calibri" w:hAnsi="Calibri" w:cs="Calibri"/>
          <w:sz w:val="22"/>
          <w:szCs w:val="22"/>
        </w:rPr>
        <w:t>техния относителен дял в о</w:t>
      </w:r>
      <w:r w:rsidR="0047438C" w:rsidRPr="00BE2DA3">
        <w:rPr>
          <w:rFonts w:ascii="Calibri" w:hAnsi="Calibri" w:cs="Calibri"/>
          <w:sz w:val="22"/>
          <w:szCs w:val="22"/>
        </w:rPr>
        <w:t xml:space="preserve">бщите приходи от продажби за </w:t>
      </w:r>
      <w:r w:rsidR="00487716" w:rsidRPr="00BE2DA3">
        <w:rPr>
          <w:rFonts w:ascii="Calibri" w:hAnsi="Calibri" w:cs="Calibri"/>
          <w:sz w:val="22"/>
          <w:szCs w:val="22"/>
        </w:rPr>
        <w:t>2021</w:t>
      </w:r>
      <w:r w:rsidRPr="00BE2DA3">
        <w:rPr>
          <w:rFonts w:ascii="Calibri" w:hAnsi="Calibri" w:cs="Calibri"/>
          <w:sz w:val="22"/>
          <w:szCs w:val="22"/>
        </w:rPr>
        <w:t>г.</w:t>
      </w:r>
      <w:r w:rsidR="004235C0" w:rsidRPr="00BE2DA3">
        <w:rPr>
          <w:rFonts w:ascii="Calibri" w:hAnsi="Calibri" w:cs="Calibri"/>
          <w:sz w:val="22"/>
          <w:szCs w:val="22"/>
        </w:rPr>
        <w:t xml:space="preserve"> и изменението спрямо </w:t>
      </w:r>
      <w:r w:rsidR="00487716" w:rsidRPr="00BE2DA3">
        <w:rPr>
          <w:rFonts w:ascii="Calibri" w:hAnsi="Calibri" w:cs="Calibri"/>
          <w:sz w:val="22"/>
          <w:szCs w:val="22"/>
        </w:rPr>
        <w:t>2020</w:t>
      </w:r>
      <w:r w:rsidR="004235C0" w:rsidRPr="00BE2DA3">
        <w:rPr>
          <w:rFonts w:ascii="Calibri" w:hAnsi="Calibri" w:cs="Calibri"/>
          <w:sz w:val="22"/>
          <w:szCs w:val="22"/>
        </w:rPr>
        <w:t>г.</w:t>
      </w:r>
      <w:r w:rsidRPr="00BE2DA3">
        <w:rPr>
          <w:rFonts w:ascii="Calibri" w:hAnsi="Calibri" w:cs="Calibri"/>
          <w:sz w:val="22"/>
          <w:szCs w:val="22"/>
        </w:rPr>
        <w:t xml:space="preserve"> </w:t>
      </w:r>
      <w:r w:rsidR="004A0CAD" w:rsidRPr="00BE2DA3">
        <w:rPr>
          <w:rFonts w:ascii="Calibri" w:hAnsi="Calibri" w:cs="Calibri"/>
          <w:b/>
          <w:sz w:val="22"/>
          <w:szCs w:val="22"/>
        </w:rPr>
        <w:t>(съгл. т.2 от Приложение</w:t>
      </w:r>
      <w:r w:rsidR="00965ADD" w:rsidRPr="00BE2DA3">
        <w:rPr>
          <w:rFonts w:ascii="Calibri" w:hAnsi="Calibri" w:cs="Calibri"/>
          <w:b/>
          <w:sz w:val="22"/>
          <w:szCs w:val="22"/>
        </w:rPr>
        <w:t xml:space="preserve"> № </w:t>
      </w:r>
      <w:r w:rsidR="00E7012F" w:rsidRPr="00BE2DA3">
        <w:rPr>
          <w:rFonts w:ascii="Calibri" w:hAnsi="Calibri" w:cs="Calibri"/>
          <w:b/>
          <w:sz w:val="22"/>
          <w:szCs w:val="22"/>
        </w:rPr>
        <w:t>2</w:t>
      </w:r>
      <w:r w:rsidR="004A0CAD" w:rsidRPr="00BE2DA3">
        <w:rPr>
          <w:rFonts w:ascii="Calibri" w:hAnsi="Calibri" w:cs="Calibri"/>
          <w:b/>
          <w:sz w:val="22"/>
          <w:szCs w:val="22"/>
        </w:rPr>
        <w:t>)</w:t>
      </w:r>
      <w:r w:rsidR="004A0CAD" w:rsidRPr="00BE2DA3">
        <w:rPr>
          <w:rFonts w:ascii="Calibri" w:hAnsi="Calibri" w:cs="Calibri"/>
          <w:sz w:val="22"/>
          <w:szCs w:val="22"/>
        </w:rPr>
        <w:t xml:space="preserve"> </w:t>
      </w:r>
      <w:r w:rsidRPr="00BE2DA3">
        <w:rPr>
          <w:rFonts w:ascii="Calibri" w:hAnsi="Calibri" w:cs="Calibri"/>
          <w:sz w:val="22"/>
          <w:szCs w:val="22"/>
        </w:rPr>
        <w:t>са както следва</w:t>
      </w:r>
      <w:r w:rsidR="004235C0" w:rsidRPr="00BE2DA3">
        <w:rPr>
          <w:rFonts w:ascii="Calibri" w:hAnsi="Calibri" w:cs="Calibri"/>
          <w:sz w:val="22"/>
          <w:szCs w:val="22"/>
        </w:rPr>
        <w:t>:</w:t>
      </w:r>
    </w:p>
    <w:tbl>
      <w:tblPr>
        <w:tblW w:w="9062" w:type="dxa"/>
        <w:tblLook w:val="04A0" w:firstRow="1" w:lastRow="0" w:firstColumn="1" w:lastColumn="0" w:noHBand="0" w:noVBand="1"/>
      </w:tblPr>
      <w:tblGrid>
        <w:gridCol w:w="5093"/>
        <w:gridCol w:w="1418"/>
        <w:gridCol w:w="1276"/>
        <w:gridCol w:w="1275"/>
      </w:tblGrid>
      <w:tr w:rsidR="00BE2DA3" w:rsidRPr="00BE2DA3" w14:paraId="7644DF66" w14:textId="77777777" w:rsidTr="00BE2DA3">
        <w:trPr>
          <w:trHeight w:val="300"/>
        </w:trPr>
        <w:tc>
          <w:tcPr>
            <w:tcW w:w="9062" w:type="dxa"/>
            <w:gridSpan w:val="4"/>
            <w:tcBorders>
              <w:top w:val="single" w:sz="8" w:space="0" w:color="E26B0A"/>
              <w:left w:val="single" w:sz="8" w:space="0" w:color="E26B0A"/>
              <w:bottom w:val="single" w:sz="8" w:space="0" w:color="E26B0A"/>
              <w:right w:val="single" w:sz="8" w:space="0" w:color="E26B0A"/>
            </w:tcBorders>
            <w:shd w:val="clear" w:color="000000" w:fill="E26B0A"/>
            <w:hideMark/>
          </w:tcPr>
          <w:p w14:paraId="6E6D683D" w14:textId="77777777" w:rsidR="00BE2DA3" w:rsidRPr="00BE2DA3" w:rsidRDefault="00BE2DA3" w:rsidP="00BE2DA3">
            <w:pPr>
              <w:jc w:val="center"/>
              <w:rPr>
                <w:rFonts w:eastAsia="Times New Roman" w:cs="Calibri"/>
                <w:b/>
                <w:bCs/>
                <w:color w:val="FFFFFF"/>
                <w:sz w:val="20"/>
                <w:szCs w:val="20"/>
                <w:lang w:val="en-US"/>
              </w:rPr>
            </w:pPr>
            <w:r w:rsidRPr="00BE2DA3">
              <w:rPr>
                <w:rFonts w:eastAsia="Times New Roman" w:cs="Calibri"/>
                <w:b/>
                <w:bCs/>
                <w:color w:val="FFFFFF"/>
                <w:sz w:val="20"/>
                <w:szCs w:val="20"/>
                <w:lang w:val="en-US"/>
              </w:rPr>
              <w:t xml:space="preserve">Основни клиенти на "ДКЦ  Чайка" ЕООД </w:t>
            </w:r>
          </w:p>
        </w:tc>
      </w:tr>
      <w:tr w:rsidR="00BE2DA3" w:rsidRPr="00BE2DA3" w14:paraId="4CD301FD" w14:textId="77777777" w:rsidTr="00BE2DA3">
        <w:trPr>
          <w:trHeight w:val="255"/>
        </w:trPr>
        <w:tc>
          <w:tcPr>
            <w:tcW w:w="5093" w:type="dxa"/>
            <w:vMerge w:val="restart"/>
            <w:tcBorders>
              <w:top w:val="nil"/>
              <w:left w:val="single" w:sz="8" w:space="0" w:color="E26B0A"/>
              <w:bottom w:val="single" w:sz="8" w:space="0" w:color="E26B0A"/>
              <w:right w:val="single" w:sz="8" w:space="0" w:color="E26B0A"/>
            </w:tcBorders>
            <w:shd w:val="clear" w:color="000000" w:fill="FABF8F"/>
            <w:noWrap/>
            <w:vAlign w:val="center"/>
            <w:hideMark/>
          </w:tcPr>
          <w:p w14:paraId="4B3B33FB" w14:textId="77777777" w:rsidR="00BE2DA3" w:rsidRPr="00BE2DA3" w:rsidRDefault="00BE2DA3" w:rsidP="00BE2DA3">
            <w:pPr>
              <w:jc w:val="center"/>
              <w:rPr>
                <w:rFonts w:eastAsia="Times New Roman" w:cs="Calibri"/>
                <w:b/>
                <w:bCs/>
                <w:sz w:val="20"/>
                <w:szCs w:val="20"/>
                <w:lang w:val="en-US"/>
              </w:rPr>
            </w:pPr>
            <w:r w:rsidRPr="00BE2DA3">
              <w:rPr>
                <w:rFonts w:eastAsia="Times New Roman" w:cs="Calibri"/>
                <w:b/>
                <w:bCs/>
                <w:sz w:val="20"/>
                <w:szCs w:val="20"/>
                <w:lang w:val="en-US"/>
              </w:rPr>
              <w:t>Наименование</w:t>
            </w:r>
          </w:p>
        </w:tc>
        <w:tc>
          <w:tcPr>
            <w:tcW w:w="3969" w:type="dxa"/>
            <w:gridSpan w:val="3"/>
            <w:tcBorders>
              <w:top w:val="single" w:sz="8" w:space="0" w:color="E26B0A"/>
              <w:left w:val="nil"/>
              <w:bottom w:val="single" w:sz="8" w:space="0" w:color="E26B0A"/>
              <w:right w:val="single" w:sz="8" w:space="0" w:color="E26B0A"/>
            </w:tcBorders>
            <w:shd w:val="clear" w:color="000000" w:fill="FABF8F"/>
            <w:hideMark/>
          </w:tcPr>
          <w:p w14:paraId="3945FBA0" w14:textId="77777777" w:rsidR="00BE2DA3" w:rsidRPr="00BE2DA3" w:rsidRDefault="00BE2DA3" w:rsidP="00BE2DA3">
            <w:pPr>
              <w:jc w:val="center"/>
              <w:rPr>
                <w:rFonts w:eastAsia="Times New Roman" w:cs="Calibri"/>
                <w:b/>
                <w:bCs/>
                <w:sz w:val="20"/>
                <w:szCs w:val="20"/>
                <w:lang w:val="en-US"/>
              </w:rPr>
            </w:pPr>
            <w:r w:rsidRPr="00BE2DA3">
              <w:rPr>
                <w:rFonts w:eastAsia="Times New Roman" w:cs="Calibri"/>
                <w:b/>
                <w:bCs/>
                <w:sz w:val="20"/>
                <w:szCs w:val="20"/>
                <w:lang w:val="en-US"/>
              </w:rPr>
              <w:t>относителен дял</w:t>
            </w:r>
          </w:p>
        </w:tc>
      </w:tr>
      <w:tr w:rsidR="00BE2DA3" w:rsidRPr="00BE2DA3" w14:paraId="0093B1E5" w14:textId="77777777" w:rsidTr="00BE2DA3">
        <w:trPr>
          <w:trHeight w:val="585"/>
        </w:trPr>
        <w:tc>
          <w:tcPr>
            <w:tcW w:w="5093" w:type="dxa"/>
            <w:vMerge/>
            <w:tcBorders>
              <w:top w:val="nil"/>
              <w:left w:val="single" w:sz="8" w:space="0" w:color="E26B0A"/>
              <w:bottom w:val="single" w:sz="8" w:space="0" w:color="E26B0A"/>
              <w:right w:val="single" w:sz="8" w:space="0" w:color="E26B0A"/>
            </w:tcBorders>
            <w:vAlign w:val="center"/>
            <w:hideMark/>
          </w:tcPr>
          <w:p w14:paraId="56003115" w14:textId="77777777" w:rsidR="00BE2DA3" w:rsidRPr="00BE2DA3" w:rsidRDefault="00BE2DA3" w:rsidP="00BE2DA3">
            <w:pPr>
              <w:rPr>
                <w:rFonts w:eastAsia="Times New Roman" w:cs="Calibri"/>
                <w:b/>
                <w:bCs/>
                <w:sz w:val="20"/>
                <w:szCs w:val="20"/>
                <w:lang w:val="en-US"/>
              </w:rPr>
            </w:pPr>
          </w:p>
        </w:tc>
        <w:tc>
          <w:tcPr>
            <w:tcW w:w="1418" w:type="dxa"/>
            <w:tcBorders>
              <w:top w:val="nil"/>
              <w:left w:val="nil"/>
              <w:bottom w:val="single" w:sz="8" w:space="0" w:color="E26B0A"/>
              <w:right w:val="single" w:sz="8" w:space="0" w:color="E26B0A"/>
            </w:tcBorders>
            <w:shd w:val="clear" w:color="000000" w:fill="FABF8F"/>
            <w:vAlign w:val="center"/>
            <w:hideMark/>
          </w:tcPr>
          <w:p w14:paraId="6067DB3A" w14:textId="77777777" w:rsidR="00BE2DA3" w:rsidRPr="00BE2DA3" w:rsidRDefault="00BE2DA3" w:rsidP="00BE2DA3">
            <w:pPr>
              <w:jc w:val="center"/>
              <w:rPr>
                <w:rFonts w:eastAsia="Times New Roman" w:cs="Calibri"/>
                <w:b/>
                <w:bCs/>
                <w:sz w:val="20"/>
                <w:szCs w:val="20"/>
                <w:lang w:val="en-US"/>
              </w:rPr>
            </w:pPr>
            <w:r w:rsidRPr="00BE2DA3">
              <w:rPr>
                <w:rFonts w:eastAsia="Times New Roman" w:cs="Calibri"/>
                <w:b/>
                <w:bCs/>
                <w:sz w:val="20"/>
                <w:szCs w:val="20"/>
                <w:lang w:val="en-US"/>
              </w:rPr>
              <w:t>2021 г.</w:t>
            </w:r>
          </w:p>
        </w:tc>
        <w:tc>
          <w:tcPr>
            <w:tcW w:w="1276" w:type="dxa"/>
            <w:tcBorders>
              <w:top w:val="nil"/>
              <w:left w:val="nil"/>
              <w:bottom w:val="single" w:sz="8" w:space="0" w:color="E26B0A"/>
              <w:right w:val="single" w:sz="8" w:space="0" w:color="E26B0A"/>
            </w:tcBorders>
            <w:shd w:val="clear" w:color="000000" w:fill="FABF8F"/>
            <w:vAlign w:val="center"/>
            <w:hideMark/>
          </w:tcPr>
          <w:p w14:paraId="0B522FCB" w14:textId="77777777" w:rsidR="00BE2DA3" w:rsidRPr="00BE2DA3" w:rsidRDefault="00BE2DA3" w:rsidP="00BE2DA3">
            <w:pPr>
              <w:jc w:val="center"/>
              <w:rPr>
                <w:rFonts w:eastAsia="Times New Roman" w:cs="Calibri"/>
                <w:b/>
                <w:bCs/>
                <w:sz w:val="20"/>
                <w:szCs w:val="20"/>
                <w:lang w:val="en-US"/>
              </w:rPr>
            </w:pPr>
            <w:r w:rsidRPr="00BE2DA3">
              <w:rPr>
                <w:rFonts w:eastAsia="Times New Roman" w:cs="Calibri"/>
                <w:b/>
                <w:bCs/>
                <w:sz w:val="20"/>
                <w:szCs w:val="20"/>
                <w:lang w:val="en-US"/>
              </w:rPr>
              <w:t>2020 г.</w:t>
            </w:r>
          </w:p>
        </w:tc>
        <w:tc>
          <w:tcPr>
            <w:tcW w:w="1275" w:type="dxa"/>
            <w:tcBorders>
              <w:top w:val="nil"/>
              <w:left w:val="nil"/>
              <w:bottom w:val="single" w:sz="8" w:space="0" w:color="E26B0A"/>
              <w:right w:val="single" w:sz="8" w:space="0" w:color="E26B0A"/>
            </w:tcBorders>
            <w:shd w:val="clear" w:color="000000" w:fill="FABF8F"/>
            <w:hideMark/>
          </w:tcPr>
          <w:p w14:paraId="6B002B8D" w14:textId="77777777" w:rsidR="00BE2DA3" w:rsidRPr="00BE2DA3" w:rsidRDefault="00BE2DA3" w:rsidP="00BE2DA3">
            <w:pPr>
              <w:jc w:val="center"/>
              <w:rPr>
                <w:rFonts w:eastAsia="Times New Roman" w:cs="Calibri"/>
                <w:b/>
                <w:bCs/>
                <w:sz w:val="20"/>
                <w:szCs w:val="20"/>
                <w:lang w:val="en-US"/>
              </w:rPr>
            </w:pPr>
            <w:r w:rsidRPr="00BE2DA3">
              <w:rPr>
                <w:rFonts w:eastAsia="Times New Roman" w:cs="Calibri"/>
                <w:b/>
                <w:bCs/>
                <w:sz w:val="20"/>
                <w:szCs w:val="20"/>
                <w:lang w:val="en-US"/>
              </w:rPr>
              <w:t>Изменение %</w:t>
            </w:r>
          </w:p>
        </w:tc>
      </w:tr>
      <w:tr w:rsidR="00BE2DA3" w:rsidRPr="00BE2DA3" w14:paraId="6FC292C7" w14:textId="77777777" w:rsidTr="00BE2DA3">
        <w:trPr>
          <w:trHeight w:val="300"/>
        </w:trPr>
        <w:tc>
          <w:tcPr>
            <w:tcW w:w="5093" w:type="dxa"/>
            <w:tcBorders>
              <w:top w:val="nil"/>
              <w:left w:val="single" w:sz="8" w:space="0" w:color="E26B0A"/>
              <w:bottom w:val="single" w:sz="8" w:space="0" w:color="E26B0A"/>
              <w:right w:val="single" w:sz="8" w:space="0" w:color="E26B0A"/>
            </w:tcBorders>
            <w:shd w:val="clear" w:color="000000" w:fill="FDE9D9"/>
            <w:noWrap/>
            <w:vAlign w:val="center"/>
            <w:hideMark/>
          </w:tcPr>
          <w:p w14:paraId="3D1C406F" w14:textId="77777777" w:rsidR="00BE2DA3" w:rsidRPr="00BE2DA3" w:rsidRDefault="00BE2DA3" w:rsidP="00BE2DA3">
            <w:pPr>
              <w:jc w:val="both"/>
              <w:rPr>
                <w:rFonts w:eastAsia="Times New Roman" w:cs="Calibri"/>
                <w:sz w:val="20"/>
                <w:szCs w:val="20"/>
                <w:lang w:val="en-US"/>
              </w:rPr>
            </w:pPr>
            <w:r w:rsidRPr="00BE2DA3">
              <w:rPr>
                <w:rFonts w:eastAsia="Times New Roman" w:cs="Calibri"/>
                <w:sz w:val="20"/>
                <w:szCs w:val="20"/>
                <w:lang w:val="en-US"/>
              </w:rPr>
              <w:t>РЗОК</w:t>
            </w:r>
          </w:p>
        </w:tc>
        <w:tc>
          <w:tcPr>
            <w:tcW w:w="1418" w:type="dxa"/>
            <w:tcBorders>
              <w:top w:val="nil"/>
              <w:left w:val="nil"/>
              <w:bottom w:val="single" w:sz="8" w:space="0" w:color="E26B0A"/>
              <w:right w:val="single" w:sz="8" w:space="0" w:color="E26B0A"/>
            </w:tcBorders>
            <w:shd w:val="clear" w:color="000000" w:fill="FDE9D9"/>
            <w:hideMark/>
          </w:tcPr>
          <w:p w14:paraId="7FE0BC89" w14:textId="77777777" w:rsidR="00BE2DA3" w:rsidRPr="00BE2DA3" w:rsidRDefault="00BE2DA3" w:rsidP="00BE2DA3">
            <w:pPr>
              <w:jc w:val="center"/>
              <w:rPr>
                <w:rFonts w:eastAsia="Times New Roman" w:cs="Calibri"/>
                <w:sz w:val="20"/>
                <w:szCs w:val="20"/>
                <w:lang w:val="en-US"/>
              </w:rPr>
            </w:pPr>
            <w:r w:rsidRPr="00BE2DA3">
              <w:rPr>
                <w:rFonts w:eastAsia="Times New Roman" w:cs="Calibri"/>
                <w:sz w:val="20"/>
                <w:szCs w:val="20"/>
                <w:lang w:val="en-US"/>
              </w:rPr>
              <w:t>64,65</w:t>
            </w:r>
          </w:p>
        </w:tc>
        <w:tc>
          <w:tcPr>
            <w:tcW w:w="1276" w:type="dxa"/>
            <w:tcBorders>
              <w:top w:val="nil"/>
              <w:left w:val="nil"/>
              <w:bottom w:val="single" w:sz="8" w:space="0" w:color="E26B0A"/>
              <w:right w:val="single" w:sz="8" w:space="0" w:color="E26B0A"/>
            </w:tcBorders>
            <w:shd w:val="clear" w:color="000000" w:fill="FDE9D9"/>
            <w:vAlign w:val="center"/>
            <w:hideMark/>
          </w:tcPr>
          <w:p w14:paraId="6BADD3BF" w14:textId="77777777" w:rsidR="00BE2DA3" w:rsidRPr="00BE2DA3" w:rsidRDefault="00BE2DA3" w:rsidP="00BE2DA3">
            <w:pPr>
              <w:jc w:val="right"/>
              <w:rPr>
                <w:rFonts w:eastAsia="Times New Roman" w:cs="Calibri"/>
                <w:sz w:val="20"/>
                <w:szCs w:val="20"/>
                <w:lang w:val="en-US"/>
              </w:rPr>
            </w:pPr>
            <w:r w:rsidRPr="00BE2DA3">
              <w:rPr>
                <w:rFonts w:eastAsia="Times New Roman" w:cs="Calibri"/>
                <w:sz w:val="20"/>
                <w:szCs w:val="20"/>
                <w:lang w:val="en-US"/>
              </w:rPr>
              <w:t>66,71</w:t>
            </w:r>
          </w:p>
        </w:tc>
        <w:tc>
          <w:tcPr>
            <w:tcW w:w="1275" w:type="dxa"/>
            <w:tcBorders>
              <w:top w:val="nil"/>
              <w:left w:val="nil"/>
              <w:bottom w:val="single" w:sz="8" w:space="0" w:color="E26B0A"/>
              <w:right w:val="single" w:sz="8" w:space="0" w:color="E26B0A"/>
            </w:tcBorders>
            <w:shd w:val="clear" w:color="000000" w:fill="FDE9D9"/>
            <w:hideMark/>
          </w:tcPr>
          <w:p w14:paraId="06A12985" w14:textId="77777777" w:rsidR="00BE2DA3" w:rsidRPr="00BE2DA3" w:rsidRDefault="00BE2DA3" w:rsidP="00BE2DA3">
            <w:pPr>
              <w:jc w:val="center"/>
              <w:rPr>
                <w:rFonts w:eastAsia="Times New Roman" w:cs="Calibri"/>
                <w:sz w:val="20"/>
                <w:szCs w:val="20"/>
                <w:lang w:val="en-US"/>
              </w:rPr>
            </w:pPr>
            <w:r w:rsidRPr="00BE2DA3">
              <w:rPr>
                <w:rFonts w:eastAsia="Times New Roman" w:cs="Calibri"/>
                <w:sz w:val="20"/>
                <w:szCs w:val="20"/>
                <w:lang w:val="en-US"/>
              </w:rPr>
              <w:t>-3,09%</w:t>
            </w:r>
          </w:p>
        </w:tc>
      </w:tr>
      <w:tr w:rsidR="00BE2DA3" w:rsidRPr="00BE2DA3" w14:paraId="1EEC4460" w14:textId="77777777" w:rsidTr="00BE2DA3">
        <w:trPr>
          <w:trHeight w:val="300"/>
        </w:trPr>
        <w:tc>
          <w:tcPr>
            <w:tcW w:w="5093" w:type="dxa"/>
            <w:tcBorders>
              <w:top w:val="nil"/>
              <w:left w:val="single" w:sz="8" w:space="0" w:color="E26B0A"/>
              <w:bottom w:val="single" w:sz="8" w:space="0" w:color="E26B0A"/>
              <w:right w:val="single" w:sz="8" w:space="0" w:color="E26B0A"/>
            </w:tcBorders>
            <w:shd w:val="clear" w:color="000000" w:fill="FDE9D9"/>
            <w:noWrap/>
            <w:vAlign w:val="center"/>
            <w:hideMark/>
          </w:tcPr>
          <w:p w14:paraId="1685D6BB" w14:textId="77777777" w:rsidR="00BE2DA3" w:rsidRPr="00BE2DA3" w:rsidRDefault="00BE2DA3" w:rsidP="00BE2DA3">
            <w:pPr>
              <w:jc w:val="both"/>
              <w:rPr>
                <w:rFonts w:eastAsia="Times New Roman" w:cs="Calibri"/>
                <w:color w:val="000000"/>
                <w:sz w:val="20"/>
                <w:szCs w:val="20"/>
                <w:lang w:val="en-US"/>
              </w:rPr>
            </w:pPr>
            <w:r w:rsidRPr="00BE2DA3">
              <w:rPr>
                <w:rFonts w:eastAsia="Times New Roman" w:cs="Calibri"/>
                <w:color w:val="000000"/>
                <w:sz w:val="20"/>
                <w:szCs w:val="20"/>
                <w:lang w:val="en-US"/>
              </w:rPr>
              <w:t>ЗАД Булстрад Живот  В.И.Г АД</w:t>
            </w:r>
          </w:p>
        </w:tc>
        <w:tc>
          <w:tcPr>
            <w:tcW w:w="1418" w:type="dxa"/>
            <w:tcBorders>
              <w:top w:val="nil"/>
              <w:left w:val="nil"/>
              <w:bottom w:val="single" w:sz="8" w:space="0" w:color="E26B0A"/>
              <w:right w:val="single" w:sz="8" w:space="0" w:color="E26B0A"/>
            </w:tcBorders>
            <w:shd w:val="clear" w:color="000000" w:fill="FDE9D9"/>
            <w:hideMark/>
          </w:tcPr>
          <w:p w14:paraId="278B6FEB" w14:textId="77777777" w:rsidR="00BE2DA3" w:rsidRPr="00BE2DA3" w:rsidRDefault="00BE2DA3" w:rsidP="00BE2DA3">
            <w:pPr>
              <w:jc w:val="center"/>
              <w:rPr>
                <w:rFonts w:eastAsia="Times New Roman" w:cs="Calibri"/>
                <w:sz w:val="20"/>
                <w:szCs w:val="20"/>
                <w:lang w:val="en-US"/>
              </w:rPr>
            </w:pPr>
            <w:r w:rsidRPr="00BE2DA3">
              <w:rPr>
                <w:rFonts w:eastAsia="Times New Roman" w:cs="Calibri"/>
                <w:sz w:val="20"/>
                <w:szCs w:val="20"/>
                <w:lang w:val="en-US"/>
              </w:rPr>
              <w:t>2,5</w:t>
            </w:r>
          </w:p>
        </w:tc>
        <w:tc>
          <w:tcPr>
            <w:tcW w:w="1276" w:type="dxa"/>
            <w:tcBorders>
              <w:top w:val="nil"/>
              <w:left w:val="nil"/>
              <w:bottom w:val="single" w:sz="8" w:space="0" w:color="E26B0A"/>
              <w:right w:val="single" w:sz="8" w:space="0" w:color="E26B0A"/>
            </w:tcBorders>
            <w:shd w:val="clear" w:color="000000" w:fill="FDE9D9"/>
            <w:vAlign w:val="center"/>
            <w:hideMark/>
          </w:tcPr>
          <w:p w14:paraId="2B5155C0" w14:textId="77777777" w:rsidR="00BE2DA3" w:rsidRPr="00BE2DA3" w:rsidRDefault="00BE2DA3" w:rsidP="00BE2DA3">
            <w:pPr>
              <w:jc w:val="right"/>
              <w:rPr>
                <w:rFonts w:eastAsia="Times New Roman" w:cs="Calibri"/>
                <w:color w:val="000000"/>
                <w:sz w:val="20"/>
                <w:szCs w:val="20"/>
                <w:lang w:val="en-US"/>
              </w:rPr>
            </w:pPr>
            <w:r w:rsidRPr="00BE2DA3">
              <w:rPr>
                <w:rFonts w:eastAsia="Times New Roman" w:cs="Calibri"/>
                <w:color w:val="000000"/>
                <w:sz w:val="20"/>
                <w:szCs w:val="20"/>
                <w:lang w:val="en-US"/>
              </w:rPr>
              <w:t>3,29</w:t>
            </w:r>
          </w:p>
        </w:tc>
        <w:tc>
          <w:tcPr>
            <w:tcW w:w="1275" w:type="dxa"/>
            <w:tcBorders>
              <w:top w:val="nil"/>
              <w:left w:val="nil"/>
              <w:bottom w:val="single" w:sz="8" w:space="0" w:color="E26B0A"/>
              <w:right w:val="single" w:sz="8" w:space="0" w:color="E26B0A"/>
            </w:tcBorders>
            <w:shd w:val="clear" w:color="000000" w:fill="FDE9D9"/>
            <w:hideMark/>
          </w:tcPr>
          <w:p w14:paraId="6A53763F" w14:textId="77777777" w:rsidR="00BE2DA3" w:rsidRPr="00BE2DA3" w:rsidRDefault="00BE2DA3" w:rsidP="00BE2DA3">
            <w:pPr>
              <w:jc w:val="center"/>
              <w:rPr>
                <w:rFonts w:eastAsia="Times New Roman" w:cs="Calibri"/>
                <w:sz w:val="20"/>
                <w:szCs w:val="20"/>
                <w:lang w:val="en-US"/>
              </w:rPr>
            </w:pPr>
            <w:r w:rsidRPr="00BE2DA3">
              <w:rPr>
                <w:rFonts w:eastAsia="Times New Roman" w:cs="Calibri"/>
                <w:sz w:val="20"/>
                <w:szCs w:val="20"/>
                <w:lang w:val="en-US"/>
              </w:rPr>
              <w:t>-24,01%</w:t>
            </w:r>
          </w:p>
        </w:tc>
      </w:tr>
      <w:tr w:rsidR="00BE2DA3" w:rsidRPr="00BE2DA3" w14:paraId="2FBB91A0" w14:textId="77777777" w:rsidTr="00BE2DA3">
        <w:trPr>
          <w:trHeight w:val="300"/>
        </w:trPr>
        <w:tc>
          <w:tcPr>
            <w:tcW w:w="5093" w:type="dxa"/>
            <w:tcBorders>
              <w:top w:val="nil"/>
              <w:left w:val="single" w:sz="8" w:space="0" w:color="E26B0A"/>
              <w:bottom w:val="single" w:sz="8" w:space="0" w:color="E26B0A"/>
              <w:right w:val="single" w:sz="8" w:space="0" w:color="E26B0A"/>
            </w:tcBorders>
            <w:shd w:val="clear" w:color="000000" w:fill="FDE9D9"/>
            <w:noWrap/>
            <w:vAlign w:val="center"/>
            <w:hideMark/>
          </w:tcPr>
          <w:p w14:paraId="6907E985" w14:textId="77777777" w:rsidR="00BE2DA3" w:rsidRPr="00BE2DA3" w:rsidRDefault="00BE2DA3" w:rsidP="00BE2DA3">
            <w:pPr>
              <w:jc w:val="both"/>
              <w:rPr>
                <w:rFonts w:eastAsia="Times New Roman" w:cs="Calibri"/>
                <w:color w:val="000000"/>
                <w:sz w:val="20"/>
                <w:szCs w:val="20"/>
                <w:lang w:val="en-US"/>
              </w:rPr>
            </w:pPr>
            <w:r w:rsidRPr="00BE2DA3">
              <w:rPr>
                <w:rFonts w:eastAsia="Times New Roman" w:cs="Calibri"/>
                <w:color w:val="000000"/>
                <w:sz w:val="20"/>
                <w:szCs w:val="20"/>
                <w:lang w:val="en-US"/>
              </w:rPr>
              <w:t>ОЗОК Здравно застраховане АД</w:t>
            </w:r>
          </w:p>
        </w:tc>
        <w:tc>
          <w:tcPr>
            <w:tcW w:w="1418" w:type="dxa"/>
            <w:tcBorders>
              <w:top w:val="nil"/>
              <w:left w:val="nil"/>
              <w:bottom w:val="single" w:sz="8" w:space="0" w:color="E26B0A"/>
              <w:right w:val="single" w:sz="8" w:space="0" w:color="E26B0A"/>
            </w:tcBorders>
            <w:shd w:val="clear" w:color="000000" w:fill="FDE9D9"/>
            <w:hideMark/>
          </w:tcPr>
          <w:p w14:paraId="6F967A91" w14:textId="77777777" w:rsidR="00BE2DA3" w:rsidRPr="00BE2DA3" w:rsidRDefault="00BE2DA3" w:rsidP="00BE2DA3">
            <w:pPr>
              <w:jc w:val="center"/>
              <w:rPr>
                <w:rFonts w:eastAsia="Times New Roman" w:cs="Calibri"/>
                <w:sz w:val="20"/>
                <w:szCs w:val="20"/>
                <w:lang w:val="en-US"/>
              </w:rPr>
            </w:pPr>
            <w:r w:rsidRPr="00BE2DA3">
              <w:rPr>
                <w:rFonts w:eastAsia="Times New Roman" w:cs="Calibri"/>
                <w:sz w:val="20"/>
                <w:szCs w:val="20"/>
                <w:lang w:val="en-US"/>
              </w:rPr>
              <w:t>1,72</w:t>
            </w:r>
          </w:p>
        </w:tc>
        <w:tc>
          <w:tcPr>
            <w:tcW w:w="1276" w:type="dxa"/>
            <w:tcBorders>
              <w:top w:val="nil"/>
              <w:left w:val="nil"/>
              <w:bottom w:val="single" w:sz="8" w:space="0" w:color="E26B0A"/>
              <w:right w:val="single" w:sz="8" w:space="0" w:color="E26B0A"/>
            </w:tcBorders>
            <w:shd w:val="clear" w:color="000000" w:fill="FDE9D9"/>
            <w:vAlign w:val="center"/>
            <w:hideMark/>
          </w:tcPr>
          <w:p w14:paraId="7AE8F20D" w14:textId="77777777" w:rsidR="00BE2DA3" w:rsidRPr="00BE2DA3" w:rsidRDefault="00BE2DA3" w:rsidP="00BE2DA3">
            <w:pPr>
              <w:jc w:val="right"/>
              <w:rPr>
                <w:rFonts w:eastAsia="Times New Roman" w:cs="Calibri"/>
                <w:color w:val="000000"/>
                <w:sz w:val="20"/>
                <w:szCs w:val="20"/>
                <w:lang w:val="en-US"/>
              </w:rPr>
            </w:pPr>
            <w:r w:rsidRPr="00BE2DA3">
              <w:rPr>
                <w:rFonts w:eastAsia="Times New Roman" w:cs="Calibri"/>
                <w:color w:val="000000"/>
                <w:sz w:val="20"/>
                <w:szCs w:val="20"/>
                <w:lang w:val="en-US"/>
              </w:rPr>
              <w:t>0,12</w:t>
            </w:r>
          </w:p>
        </w:tc>
        <w:tc>
          <w:tcPr>
            <w:tcW w:w="1275" w:type="dxa"/>
            <w:tcBorders>
              <w:top w:val="nil"/>
              <w:left w:val="nil"/>
              <w:bottom w:val="single" w:sz="8" w:space="0" w:color="E26B0A"/>
              <w:right w:val="single" w:sz="8" w:space="0" w:color="E26B0A"/>
            </w:tcBorders>
            <w:shd w:val="clear" w:color="000000" w:fill="FDE9D9"/>
            <w:hideMark/>
          </w:tcPr>
          <w:p w14:paraId="559AD3C8" w14:textId="77777777" w:rsidR="00BE2DA3" w:rsidRPr="00BE2DA3" w:rsidRDefault="00BE2DA3" w:rsidP="00BE2DA3">
            <w:pPr>
              <w:jc w:val="center"/>
              <w:rPr>
                <w:rFonts w:eastAsia="Times New Roman" w:cs="Calibri"/>
                <w:sz w:val="20"/>
                <w:szCs w:val="20"/>
                <w:lang w:val="en-US"/>
              </w:rPr>
            </w:pPr>
            <w:r w:rsidRPr="00BE2DA3">
              <w:rPr>
                <w:rFonts w:eastAsia="Times New Roman" w:cs="Calibri"/>
                <w:sz w:val="20"/>
                <w:szCs w:val="20"/>
                <w:lang w:val="en-US"/>
              </w:rPr>
              <w:t>1333,33%</w:t>
            </w:r>
          </w:p>
        </w:tc>
      </w:tr>
      <w:tr w:rsidR="00BE2DA3" w:rsidRPr="00BE2DA3" w14:paraId="1F16DB88" w14:textId="77777777" w:rsidTr="00BE2DA3">
        <w:trPr>
          <w:trHeight w:val="291"/>
        </w:trPr>
        <w:tc>
          <w:tcPr>
            <w:tcW w:w="5093" w:type="dxa"/>
            <w:tcBorders>
              <w:top w:val="nil"/>
              <w:left w:val="single" w:sz="8" w:space="0" w:color="E26B0A"/>
              <w:bottom w:val="single" w:sz="8" w:space="0" w:color="E26B0A"/>
              <w:right w:val="single" w:sz="8" w:space="0" w:color="E26B0A"/>
            </w:tcBorders>
            <w:shd w:val="clear" w:color="000000" w:fill="FDE9D9"/>
            <w:noWrap/>
            <w:vAlign w:val="center"/>
            <w:hideMark/>
          </w:tcPr>
          <w:p w14:paraId="49CE652A" w14:textId="77777777" w:rsidR="00BE2DA3" w:rsidRPr="00BE2DA3" w:rsidRDefault="00BE2DA3" w:rsidP="00BE2DA3">
            <w:pPr>
              <w:jc w:val="both"/>
              <w:rPr>
                <w:rFonts w:eastAsia="Times New Roman" w:cs="Calibri"/>
                <w:color w:val="000000"/>
                <w:sz w:val="20"/>
                <w:szCs w:val="20"/>
                <w:lang w:val="en-US"/>
              </w:rPr>
            </w:pPr>
            <w:r w:rsidRPr="00BE2DA3">
              <w:rPr>
                <w:rFonts w:eastAsia="Times New Roman" w:cs="Calibri"/>
                <w:color w:val="000000"/>
                <w:sz w:val="20"/>
                <w:szCs w:val="20"/>
                <w:lang w:val="en-US"/>
              </w:rPr>
              <w:t xml:space="preserve">Други здравно застрахователни дружества </w:t>
            </w:r>
          </w:p>
        </w:tc>
        <w:tc>
          <w:tcPr>
            <w:tcW w:w="1418" w:type="dxa"/>
            <w:tcBorders>
              <w:top w:val="nil"/>
              <w:left w:val="nil"/>
              <w:bottom w:val="single" w:sz="8" w:space="0" w:color="E26B0A"/>
              <w:right w:val="single" w:sz="8" w:space="0" w:color="E26B0A"/>
            </w:tcBorders>
            <w:shd w:val="clear" w:color="000000" w:fill="FDE9D9"/>
            <w:hideMark/>
          </w:tcPr>
          <w:p w14:paraId="0E0BE563" w14:textId="77777777" w:rsidR="00BE2DA3" w:rsidRPr="00BE2DA3" w:rsidRDefault="00BE2DA3" w:rsidP="00BE2DA3">
            <w:pPr>
              <w:jc w:val="center"/>
              <w:rPr>
                <w:rFonts w:eastAsia="Times New Roman" w:cs="Calibri"/>
                <w:sz w:val="20"/>
                <w:szCs w:val="20"/>
                <w:lang w:val="en-US"/>
              </w:rPr>
            </w:pPr>
            <w:r w:rsidRPr="00BE2DA3">
              <w:rPr>
                <w:rFonts w:eastAsia="Times New Roman" w:cs="Calibri"/>
                <w:sz w:val="20"/>
                <w:szCs w:val="20"/>
                <w:lang w:val="en-US"/>
              </w:rPr>
              <w:t>6,64</w:t>
            </w:r>
          </w:p>
        </w:tc>
        <w:tc>
          <w:tcPr>
            <w:tcW w:w="1276" w:type="dxa"/>
            <w:tcBorders>
              <w:top w:val="nil"/>
              <w:left w:val="nil"/>
              <w:bottom w:val="single" w:sz="8" w:space="0" w:color="E26B0A"/>
              <w:right w:val="single" w:sz="8" w:space="0" w:color="E26B0A"/>
            </w:tcBorders>
            <w:shd w:val="clear" w:color="000000" w:fill="FDE9D9"/>
            <w:vAlign w:val="center"/>
            <w:hideMark/>
          </w:tcPr>
          <w:p w14:paraId="796BB45E" w14:textId="77777777" w:rsidR="00BE2DA3" w:rsidRPr="00BE2DA3" w:rsidRDefault="00BE2DA3" w:rsidP="00BE2DA3">
            <w:pPr>
              <w:jc w:val="right"/>
              <w:rPr>
                <w:rFonts w:eastAsia="Times New Roman" w:cs="Calibri"/>
                <w:color w:val="000000"/>
                <w:sz w:val="20"/>
                <w:szCs w:val="20"/>
                <w:lang w:val="en-US"/>
              </w:rPr>
            </w:pPr>
            <w:r w:rsidRPr="00BE2DA3">
              <w:rPr>
                <w:rFonts w:eastAsia="Times New Roman" w:cs="Calibri"/>
                <w:color w:val="000000"/>
                <w:sz w:val="20"/>
                <w:szCs w:val="20"/>
                <w:lang w:val="en-US"/>
              </w:rPr>
              <w:t>6,69</w:t>
            </w:r>
          </w:p>
        </w:tc>
        <w:tc>
          <w:tcPr>
            <w:tcW w:w="1275" w:type="dxa"/>
            <w:tcBorders>
              <w:top w:val="nil"/>
              <w:left w:val="nil"/>
              <w:bottom w:val="single" w:sz="8" w:space="0" w:color="E26B0A"/>
              <w:right w:val="single" w:sz="8" w:space="0" w:color="E26B0A"/>
            </w:tcBorders>
            <w:shd w:val="clear" w:color="000000" w:fill="FDE9D9"/>
            <w:hideMark/>
          </w:tcPr>
          <w:p w14:paraId="33F37D33" w14:textId="77777777" w:rsidR="00BE2DA3" w:rsidRPr="00BE2DA3" w:rsidRDefault="00BE2DA3" w:rsidP="00BE2DA3">
            <w:pPr>
              <w:jc w:val="center"/>
              <w:rPr>
                <w:rFonts w:eastAsia="Times New Roman" w:cs="Calibri"/>
                <w:sz w:val="20"/>
                <w:szCs w:val="20"/>
                <w:lang w:val="en-US"/>
              </w:rPr>
            </w:pPr>
            <w:r w:rsidRPr="00BE2DA3">
              <w:rPr>
                <w:rFonts w:eastAsia="Times New Roman" w:cs="Calibri"/>
                <w:sz w:val="20"/>
                <w:szCs w:val="20"/>
                <w:lang w:val="en-US"/>
              </w:rPr>
              <w:t>-0,75%</w:t>
            </w:r>
          </w:p>
        </w:tc>
      </w:tr>
      <w:tr w:rsidR="00BE2DA3" w:rsidRPr="00BE2DA3" w14:paraId="683FE3CF" w14:textId="77777777" w:rsidTr="00BE2DA3">
        <w:trPr>
          <w:trHeight w:val="300"/>
        </w:trPr>
        <w:tc>
          <w:tcPr>
            <w:tcW w:w="5093" w:type="dxa"/>
            <w:tcBorders>
              <w:top w:val="nil"/>
              <w:left w:val="single" w:sz="8" w:space="0" w:color="E26B0A"/>
              <w:bottom w:val="single" w:sz="8" w:space="0" w:color="E26B0A"/>
              <w:right w:val="single" w:sz="8" w:space="0" w:color="E26B0A"/>
            </w:tcBorders>
            <w:shd w:val="clear" w:color="000000" w:fill="FDE9D9"/>
            <w:noWrap/>
            <w:vAlign w:val="center"/>
            <w:hideMark/>
          </w:tcPr>
          <w:p w14:paraId="4AF0A741" w14:textId="77777777" w:rsidR="00BE2DA3" w:rsidRPr="00BE2DA3" w:rsidRDefault="00BE2DA3" w:rsidP="00BE2DA3">
            <w:pPr>
              <w:rPr>
                <w:rFonts w:eastAsia="Times New Roman" w:cs="Calibri"/>
                <w:color w:val="000000"/>
                <w:sz w:val="20"/>
                <w:szCs w:val="20"/>
                <w:lang w:val="en-US"/>
              </w:rPr>
            </w:pPr>
            <w:r w:rsidRPr="00BE2DA3">
              <w:rPr>
                <w:rFonts w:eastAsia="Times New Roman" w:cs="Calibri"/>
                <w:color w:val="000000"/>
                <w:sz w:val="20"/>
                <w:szCs w:val="20"/>
                <w:lang w:val="en-US"/>
              </w:rPr>
              <w:t>Население - касови плащания</w:t>
            </w:r>
          </w:p>
        </w:tc>
        <w:tc>
          <w:tcPr>
            <w:tcW w:w="1418" w:type="dxa"/>
            <w:tcBorders>
              <w:top w:val="nil"/>
              <w:left w:val="nil"/>
              <w:bottom w:val="single" w:sz="8" w:space="0" w:color="E26B0A"/>
              <w:right w:val="single" w:sz="8" w:space="0" w:color="E26B0A"/>
            </w:tcBorders>
            <w:shd w:val="clear" w:color="000000" w:fill="FDE9D9"/>
            <w:hideMark/>
          </w:tcPr>
          <w:p w14:paraId="0D4D40F5" w14:textId="77777777" w:rsidR="00BE2DA3" w:rsidRPr="00BE2DA3" w:rsidRDefault="00BE2DA3" w:rsidP="00BE2DA3">
            <w:pPr>
              <w:jc w:val="center"/>
              <w:rPr>
                <w:rFonts w:eastAsia="Times New Roman" w:cs="Calibri"/>
                <w:sz w:val="20"/>
                <w:szCs w:val="20"/>
                <w:lang w:val="en-US"/>
              </w:rPr>
            </w:pPr>
            <w:r w:rsidRPr="00BE2DA3">
              <w:rPr>
                <w:rFonts w:eastAsia="Times New Roman" w:cs="Calibri"/>
                <w:sz w:val="20"/>
                <w:szCs w:val="20"/>
                <w:lang w:val="en-US"/>
              </w:rPr>
              <w:t>21,33</w:t>
            </w:r>
          </w:p>
        </w:tc>
        <w:tc>
          <w:tcPr>
            <w:tcW w:w="1276" w:type="dxa"/>
            <w:tcBorders>
              <w:top w:val="nil"/>
              <w:left w:val="nil"/>
              <w:bottom w:val="single" w:sz="8" w:space="0" w:color="E26B0A"/>
              <w:right w:val="single" w:sz="8" w:space="0" w:color="E26B0A"/>
            </w:tcBorders>
            <w:shd w:val="clear" w:color="000000" w:fill="FDE9D9"/>
            <w:vAlign w:val="center"/>
            <w:hideMark/>
          </w:tcPr>
          <w:p w14:paraId="67C1B066" w14:textId="77777777" w:rsidR="00BE2DA3" w:rsidRPr="00BE2DA3" w:rsidRDefault="00BE2DA3" w:rsidP="00BE2DA3">
            <w:pPr>
              <w:jc w:val="right"/>
              <w:rPr>
                <w:rFonts w:eastAsia="Times New Roman" w:cs="Calibri"/>
                <w:color w:val="000000"/>
                <w:sz w:val="20"/>
                <w:szCs w:val="20"/>
                <w:lang w:val="en-US"/>
              </w:rPr>
            </w:pPr>
            <w:r w:rsidRPr="00BE2DA3">
              <w:rPr>
                <w:rFonts w:eastAsia="Times New Roman" w:cs="Calibri"/>
                <w:color w:val="000000"/>
                <w:sz w:val="20"/>
                <w:szCs w:val="20"/>
                <w:lang w:val="en-US"/>
              </w:rPr>
              <w:t>22,16</w:t>
            </w:r>
          </w:p>
        </w:tc>
        <w:tc>
          <w:tcPr>
            <w:tcW w:w="1275" w:type="dxa"/>
            <w:tcBorders>
              <w:top w:val="nil"/>
              <w:left w:val="nil"/>
              <w:bottom w:val="single" w:sz="8" w:space="0" w:color="E26B0A"/>
              <w:right w:val="single" w:sz="8" w:space="0" w:color="E26B0A"/>
            </w:tcBorders>
            <w:shd w:val="clear" w:color="000000" w:fill="FDE9D9"/>
            <w:hideMark/>
          </w:tcPr>
          <w:p w14:paraId="0C991824" w14:textId="77777777" w:rsidR="00BE2DA3" w:rsidRPr="00BE2DA3" w:rsidRDefault="00BE2DA3" w:rsidP="00BE2DA3">
            <w:pPr>
              <w:jc w:val="center"/>
              <w:rPr>
                <w:rFonts w:eastAsia="Times New Roman" w:cs="Calibri"/>
                <w:sz w:val="20"/>
                <w:szCs w:val="20"/>
                <w:lang w:val="en-US"/>
              </w:rPr>
            </w:pPr>
            <w:r w:rsidRPr="00BE2DA3">
              <w:rPr>
                <w:rFonts w:eastAsia="Times New Roman" w:cs="Calibri"/>
                <w:sz w:val="20"/>
                <w:szCs w:val="20"/>
                <w:lang w:val="en-US"/>
              </w:rPr>
              <w:t>-3,75%</w:t>
            </w:r>
          </w:p>
        </w:tc>
      </w:tr>
      <w:tr w:rsidR="00BE2DA3" w:rsidRPr="00BE2DA3" w14:paraId="17524F34" w14:textId="77777777" w:rsidTr="00BE2DA3">
        <w:trPr>
          <w:trHeight w:val="288"/>
        </w:trPr>
        <w:tc>
          <w:tcPr>
            <w:tcW w:w="5093" w:type="dxa"/>
            <w:tcBorders>
              <w:top w:val="nil"/>
              <w:left w:val="single" w:sz="8" w:space="0" w:color="E26B0A"/>
              <w:bottom w:val="single" w:sz="8" w:space="0" w:color="E26B0A"/>
              <w:right w:val="single" w:sz="8" w:space="0" w:color="E26B0A"/>
            </w:tcBorders>
            <w:shd w:val="clear" w:color="000000" w:fill="FDE9D9"/>
            <w:noWrap/>
            <w:vAlign w:val="center"/>
            <w:hideMark/>
          </w:tcPr>
          <w:p w14:paraId="76136805" w14:textId="77777777" w:rsidR="00BE2DA3" w:rsidRPr="00BE2DA3" w:rsidRDefault="00BE2DA3" w:rsidP="00BE2DA3">
            <w:pPr>
              <w:rPr>
                <w:rFonts w:eastAsia="Times New Roman" w:cs="Calibri"/>
                <w:color w:val="000000"/>
                <w:sz w:val="20"/>
                <w:szCs w:val="20"/>
                <w:lang w:val="en-US"/>
              </w:rPr>
            </w:pPr>
            <w:r w:rsidRPr="00BE2DA3">
              <w:rPr>
                <w:rFonts w:eastAsia="Times New Roman" w:cs="Calibri"/>
                <w:color w:val="000000"/>
                <w:sz w:val="20"/>
                <w:szCs w:val="20"/>
                <w:lang w:val="en-US"/>
              </w:rPr>
              <w:t xml:space="preserve">Други </w:t>
            </w:r>
          </w:p>
        </w:tc>
        <w:tc>
          <w:tcPr>
            <w:tcW w:w="1418" w:type="dxa"/>
            <w:tcBorders>
              <w:top w:val="nil"/>
              <w:left w:val="nil"/>
              <w:bottom w:val="single" w:sz="8" w:space="0" w:color="E26B0A"/>
              <w:right w:val="single" w:sz="8" w:space="0" w:color="E26B0A"/>
            </w:tcBorders>
            <w:shd w:val="clear" w:color="000000" w:fill="FDE9D9"/>
            <w:hideMark/>
          </w:tcPr>
          <w:p w14:paraId="618A7044" w14:textId="77777777" w:rsidR="00BE2DA3" w:rsidRPr="00BE2DA3" w:rsidRDefault="00BE2DA3" w:rsidP="00BE2DA3">
            <w:pPr>
              <w:jc w:val="center"/>
              <w:rPr>
                <w:rFonts w:eastAsia="Times New Roman" w:cs="Calibri"/>
                <w:sz w:val="20"/>
                <w:szCs w:val="20"/>
                <w:lang w:val="en-US"/>
              </w:rPr>
            </w:pPr>
            <w:r w:rsidRPr="00BE2DA3">
              <w:rPr>
                <w:rFonts w:eastAsia="Times New Roman" w:cs="Calibri"/>
                <w:sz w:val="20"/>
                <w:szCs w:val="20"/>
                <w:lang w:val="en-US"/>
              </w:rPr>
              <w:t>3,16</w:t>
            </w:r>
          </w:p>
        </w:tc>
        <w:tc>
          <w:tcPr>
            <w:tcW w:w="1276" w:type="dxa"/>
            <w:tcBorders>
              <w:top w:val="nil"/>
              <w:left w:val="nil"/>
              <w:bottom w:val="single" w:sz="8" w:space="0" w:color="E26B0A"/>
              <w:right w:val="single" w:sz="8" w:space="0" w:color="E26B0A"/>
            </w:tcBorders>
            <w:shd w:val="clear" w:color="000000" w:fill="FDE9D9"/>
            <w:vAlign w:val="center"/>
            <w:hideMark/>
          </w:tcPr>
          <w:p w14:paraId="1701C2A3" w14:textId="77777777" w:rsidR="00BE2DA3" w:rsidRPr="00BE2DA3" w:rsidRDefault="00BE2DA3" w:rsidP="00BE2DA3">
            <w:pPr>
              <w:jc w:val="right"/>
              <w:rPr>
                <w:rFonts w:eastAsia="Times New Roman" w:cs="Calibri"/>
                <w:color w:val="000000"/>
                <w:sz w:val="20"/>
                <w:szCs w:val="20"/>
                <w:lang w:val="en-US"/>
              </w:rPr>
            </w:pPr>
            <w:r w:rsidRPr="00BE2DA3">
              <w:rPr>
                <w:rFonts w:eastAsia="Times New Roman" w:cs="Calibri"/>
                <w:color w:val="000000"/>
                <w:sz w:val="20"/>
                <w:szCs w:val="20"/>
                <w:lang w:val="en-US"/>
              </w:rPr>
              <w:t>1,03</w:t>
            </w:r>
          </w:p>
        </w:tc>
        <w:tc>
          <w:tcPr>
            <w:tcW w:w="1275" w:type="dxa"/>
            <w:tcBorders>
              <w:top w:val="nil"/>
              <w:left w:val="nil"/>
              <w:bottom w:val="single" w:sz="8" w:space="0" w:color="E26B0A"/>
              <w:right w:val="single" w:sz="8" w:space="0" w:color="E26B0A"/>
            </w:tcBorders>
            <w:shd w:val="clear" w:color="000000" w:fill="FDE9D9"/>
            <w:hideMark/>
          </w:tcPr>
          <w:p w14:paraId="3994AA34" w14:textId="77777777" w:rsidR="00BE2DA3" w:rsidRPr="00BE2DA3" w:rsidRDefault="00BE2DA3" w:rsidP="00BE2DA3">
            <w:pPr>
              <w:jc w:val="center"/>
              <w:rPr>
                <w:rFonts w:eastAsia="Times New Roman" w:cs="Calibri"/>
                <w:sz w:val="20"/>
                <w:szCs w:val="20"/>
                <w:lang w:val="en-US"/>
              </w:rPr>
            </w:pPr>
            <w:r w:rsidRPr="00BE2DA3">
              <w:rPr>
                <w:rFonts w:eastAsia="Times New Roman" w:cs="Calibri"/>
                <w:sz w:val="20"/>
                <w:szCs w:val="20"/>
                <w:lang w:val="en-US"/>
              </w:rPr>
              <w:t>206,80%</w:t>
            </w:r>
          </w:p>
        </w:tc>
      </w:tr>
      <w:tr w:rsidR="00BE2DA3" w:rsidRPr="00BE2DA3" w14:paraId="78C25380" w14:textId="77777777" w:rsidTr="00BE2DA3">
        <w:trPr>
          <w:trHeight w:val="288"/>
        </w:trPr>
        <w:tc>
          <w:tcPr>
            <w:tcW w:w="5093" w:type="dxa"/>
            <w:tcBorders>
              <w:top w:val="nil"/>
              <w:left w:val="single" w:sz="8" w:space="0" w:color="E26B0A"/>
              <w:bottom w:val="single" w:sz="8" w:space="0" w:color="E26B0A"/>
              <w:right w:val="single" w:sz="8" w:space="0" w:color="E26B0A"/>
            </w:tcBorders>
            <w:shd w:val="clear" w:color="000000" w:fill="FDE9D9"/>
            <w:vAlign w:val="center"/>
            <w:hideMark/>
          </w:tcPr>
          <w:p w14:paraId="4BB54E37" w14:textId="77777777" w:rsidR="00BE2DA3" w:rsidRPr="00BE2DA3" w:rsidRDefault="00BE2DA3" w:rsidP="00BE2DA3">
            <w:pPr>
              <w:jc w:val="both"/>
              <w:rPr>
                <w:rFonts w:eastAsia="Times New Roman" w:cs="Calibri"/>
                <w:b/>
                <w:bCs/>
                <w:sz w:val="20"/>
                <w:szCs w:val="20"/>
                <w:lang w:val="en-US"/>
              </w:rPr>
            </w:pPr>
            <w:r w:rsidRPr="00BE2DA3">
              <w:rPr>
                <w:rFonts w:eastAsia="Times New Roman" w:cs="Calibri"/>
                <w:b/>
                <w:bCs/>
                <w:sz w:val="20"/>
                <w:szCs w:val="20"/>
                <w:lang w:val="en-US"/>
              </w:rPr>
              <w:t>Общо</w:t>
            </w:r>
          </w:p>
        </w:tc>
        <w:tc>
          <w:tcPr>
            <w:tcW w:w="1418" w:type="dxa"/>
            <w:tcBorders>
              <w:top w:val="nil"/>
              <w:left w:val="nil"/>
              <w:bottom w:val="single" w:sz="8" w:space="0" w:color="E26B0A"/>
              <w:right w:val="single" w:sz="8" w:space="0" w:color="E26B0A"/>
            </w:tcBorders>
            <w:shd w:val="clear" w:color="000000" w:fill="FDE9D9"/>
            <w:vAlign w:val="center"/>
            <w:hideMark/>
          </w:tcPr>
          <w:p w14:paraId="05866309" w14:textId="77777777" w:rsidR="00BE2DA3" w:rsidRPr="00BE2DA3" w:rsidRDefault="00BE2DA3" w:rsidP="00BE2DA3">
            <w:pPr>
              <w:jc w:val="center"/>
              <w:rPr>
                <w:rFonts w:eastAsia="Times New Roman" w:cs="Calibri"/>
                <w:b/>
                <w:bCs/>
                <w:sz w:val="20"/>
                <w:szCs w:val="20"/>
                <w:lang w:val="en-US"/>
              </w:rPr>
            </w:pPr>
            <w:r w:rsidRPr="00BE2DA3">
              <w:rPr>
                <w:rFonts w:eastAsia="Times New Roman" w:cs="Calibri"/>
                <w:b/>
                <w:bCs/>
                <w:sz w:val="20"/>
                <w:szCs w:val="20"/>
                <w:lang w:val="en-US"/>
              </w:rPr>
              <w:t>100%</w:t>
            </w:r>
          </w:p>
        </w:tc>
        <w:tc>
          <w:tcPr>
            <w:tcW w:w="1276" w:type="dxa"/>
            <w:tcBorders>
              <w:top w:val="nil"/>
              <w:left w:val="nil"/>
              <w:bottom w:val="single" w:sz="8" w:space="0" w:color="E26B0A"/>
              <w:right w:val="single" w:sz="8" w:space="0" w:color="E26B0A"/>
            </w:tcBorders>
            <w:shd w:val="clear" w:color="000000" w:fill="FDE9D9"/>
            <w:vAlign w:val="center"/>
            <w:hideMark/>
          </w:tcPr>
          <w:p w14:paraId="0F91F596" w14:textId="77777777" w:rsidR="00BE2DA3" w:rsidRPr="00BE2DA3" w:rsidRDefault="00BE2DA3" w:rsidP="00BE2DA3">
            <w:pPr>
              <w:jc w:val="center"/>
              <w:rPr>
                <w:rFonts w:eastAsia="Times New Roman" w:cs="Calibri"/>
                <w:b/>
                <w:bCs/>
                <w:sz w:val="20"/>
                <w:szCs w:val="20"/>
                <w:lang w:val="en-US"/>
              </w:rPr>
            </w:pPr>
            <w:r w:rsidRPr="00BE2DA3">
              <w:rPr>
                <w:rFonts w:eastAsia="Times New Roman" w:cs="Calibri"/>
                <w:b/>
                <w:bCs/>
                <w:sz w:val="20"/>
                <w:szCs w:val="20"/>
                <w:lang w:val="en-US"/>
              </w:rPr>
              <w:t>100%</w:t>
            </w:r>
          </w:p>
        </w:tc>
        <w:tc>
          <w:tcPr>
            <w:tcW w:w="1275" w:type="dxa"/>
            <w:tcBorders>
              <w:top w:val="nil"/>
              <w:left w:val="nil"/>
              <w:bottom w:val="single" w:sz="8" w:space="0" w:color="E26B0A"/>
              <w:right w:val="single" w:sz="8" w:space="0" w:color="E26B0A"/>
            </w:tcBorders>
            <w:shd w:val="clear" w:color="000000" w:fill="FDE9D9"/>
            <w:vAlign w:val="center"/>
            <w:hideMark/>
          </w:tcPr>
          <w:p w14:paraId="6D874080" w14:textId="77777777" w:rsidR="00BE2DA3" w:rsidRPr="00BE2DA3" w:rsidRDefault="00BE2DA3" w:rsidP="00BE2DA3">
            <w:pPr>
              <w:jc w:val="both"/>
              <w:rPr>
                <w:rFonts w:eastAsia="Times New Roman" w:cs="Calibri"/>
                <w:sz w:val="20"/>
                <w:szCs w:val="20"/>
                <w:lang w:val="en-US"/>
              </w:rPr>
            </w:pPr>
            <w:r w:rsidRPr="00BE2DA3">
              <w:rPr>
                <w:rFonts w:eastAsia="Times New Roman" w:cs="Calibri"/>
                <w:sz w:val="20"/>
                <w:szCs w:val="20"/>
                <w:lang w:val="en-US"/>
              </w:rPr>
              <w:t> </w:t>
            </w:r>
          </w:p>
        </w:tc>
      </w:tr>
    </w:tbl>
    <w:p w14:paraId="136371A0" w14:textId="77777777" w:rsidR="001D4C12" w:rsidRPr="00987F3A" w:rsidRDefault="001D4C12" w:rsidP="00965ADD">
      <w:pPr>
        <w:pStyle w:val="BodyText"/>
        <w:jc w:val="both"/>
        <w:rPr>
          <w:rFonts w:ascii="Calibri" w:hAnsi="Calibri" w:cs="Calibri"/>
          <w:color w:val="FF0000"/>
          <w:sz w:val="22"/>
          <w:szCs w:val="22"/>
          <w:lang w:val="en-US"/>
        </w:rPr>
      </w:pPr>
    </w:p>
    <w:p w14:paraId="4E84770B" w14:textId="4AD7D210" w:rsidR="001D4C12" w:rsidRDefault="001D4C12" w:rsidP="00965ADD">
      <w:pPr>
        <w:pStyle w:val="BodyText"/>
        <w:jc w:val="both"/>
        <w:rPr>
          <w:rFonts w:ascii="Calibri" w:hAnsi="Calibri" w:cs="Calibri"/>
          <w:sz w:val="22"/>
          <w:szCs w:val="22"/>
          <w:lang w:val="en-US"/>
        </w:rPr>
      </w:pPr>
    </w:p>
    <w:p w14:paraId="54A28D52" w14:textId="7B147700" w:rsidR="001D4C12" w:rsidRDefault="001D4C12" w:rsidP="00965ADD">
      <w:pPr>
        <w:pStyle w:val="BodyText"/>
        <w:jc w:val="both"/>
        <w:rPr>
          <w:rFonts w:ascii="Calibri" w:hAnsi="Calibri" w:cs="Calibri"/>
          <w:sz w:val="22"/>
          <w:szCs w:val="22"/>
          <w:lang w:val="en-US"/>
        </w:rPr>
      </w:pPr>
    </w:p>
    <w:p w14:paraId="5B2630A3" w14:textId="77777777" w:rsidR="001D4C12" w:rsidRDefault="001D4C12" w:rsidP="00965ADD">
      <w:pPr>
        <w:pStyle w:val="BodyText"/>
        <w:jc w:val="both"/>
        <w:rPr>
          <w:rFonts w:ascii="Calibri" w:hAnsi="Calibri" w:cs="Calibri"/>
          <w:sz w:val="22"/>
          <w:szCs w:val="22"/>
          <w:lang w:val="en-US"/>
        </w:rPr>
      </w:pPr>
    </w:p>
    <w:p w14:paraId="32C97976" w14:textId="77777777" w:rsidR="009539A7" w:rsidRDefault="009539A7" w:rsidP="00965ADD">
      <w:pPr>
        <w:pStyle w:val="BodyText"/>
        <w:jc w:val="both"/>
        <w:rPr>
          <w:rFonts w:ascii="Calibri" w:hAnsi="Calibri" w:cs="Calibri"/>
          <w:sz w:val="22"/>
          <w:szCs w:val="22"/>
          <w:lang w:val="en-US"/>
        </w:rPr>
      </w:pPr>
    </w:p>
    <w:p w14:paraId="764578C2" w14:textId="6D5148C6" w:rsidR="00743193" w:rsidRDefault="00FD2716" w:rsidP="00B41CDC">
      <w:pPr>
        <w:pStyle w:val="BodyText"/>
        <w:jc w:val="both"/>
        <w:rPr>
          <w:rFonts w:ascii="Calibri" w:hAnsi="Calibri" w:cs="Calibri"/>
          <w:sz w:val="22"/>
          <w:szCs w:val="22"/>
          <w:lang w:val="en-US"/>
        </w:rPr>
      </w:pPr>
      <w:r>
        <w:rPr>
          <w:rFonts w:ascii="Calibri" w:hAnsi="Calibri" w:cs="Calibri"/>
          <w:sz w:val="22"/>
          <w:szCs w:val="22"/>
        </w:rPr>
        <w:t>Видно от таблицата о</w:t>
      </w:r>
      <w:r w:rsidRPr="00986B2F">
        <w:rPr>
          <w:rFonts w:ascii="Calibri" w:hAnsi="Calibri" w:cs="Calibri"/>
          <w:sz w:val="22"/>
          <w:szCs w:val="22"/>
        </w:rPr>
        <w:t>сновни</w:t>
      </w:r>
      <w:r>
        <w:rPr>
          <w:rFonts w:ascii="Calibri" w:hAnsi="Calibri" w:cs="Calibri"/>
          <w:sz w:val="22"/>
          <w:szCs w:val="22"/>
        </w:rPr>
        <w:t>те</w:t>
      </w:r>
      <w:r w:rsidRPr="00986B2F">
        <w:rPr>
          <w:rFonts w:ascii="Calibri" w:hAnsi="Calibri" w:cs="Calibri"/>
          <w:sz w:val="22"/>
          <w:szCs w:val="22"/>
        </w:rPr>
        <w:t xml:space="preserve"> клиенти на  “</w:t>
      </w:r>
      <w:r w:rsidR="003C0C35">
        <w:rPr>
          <w:rFonts w:ascii="Calibri" w:hAnsi="Calibri" w:cs="Calibri"/>
          <w:sz w:val="22"/>
          <w:szCs w:val="22"/>
        </w:rPr>
        <w:t xml:space="preserve">ДКЦ Чайка </w:t>
      </w:r>
      <w:r>
        <w:rPr>
          <w:rFonts w:ascii="Calibri" w:hAnsi="Calibri" w:cs="Calibri"/>
          <w:sz w:val="22"/>
          <w:szCs w:val="22"/>
        </w:rPr>
        <w:t xml:space="preserve">” </w:t>
      </w:r>
      <w:r w:rsidR="003C0C35">
        <w:rPr>
          <w:rFonts w:ascii="Calibri" w:hAnsi="Calibri" w:cs="Calibri"/>
          <w:sz w:val="22"/>
          <w:szCs w:val="22"/>
        </w:rPr>
        <w:t>Е</w:t>
      </w:r>
      <w:r w:rsidR="00FE1938">
        <w:rPr>
          <w:rFonts w:ascii="Calibri" w:hAnsi="Calibri" w:cs="Calibri"/>
          <w:sz w:val="22"/>
          <w:szCs w:val="22"/>
        </w:rPr>
        <w:t>ООД</w:t>
      </w:r>
      <w:r>
        <w:rPr>
          <w:rFonts w:ascii="Calibri" w:hAnsi="Calibri" w:cs="Calibri"/>
          <w:sz w:val="22"/>
          <w:szCs w:val="22"/>
        </w:rPr>
        <w:t xml:space="preserve">, чийто относителен дял надхърля 10% от приходите от продажби са, </w:t>
      </w:r>
      <w:r w:rsidR="004A0CAD" w:rsidRPr="0074615C">
        <w:rPr>
          <w:rFonts w:ascii="Calibri" w:hAnsi="Calibri" w:cs="Calibri"/>
          <w:b/>
          <w:sz w:val="22"/>
          <w:szCs w:val="22"/>
        </w:rPr>
        <w:t>(съгл. т.2 от Приложение</w:t>
      </w:r>
      <w:r w:rsidR="00965ADD">
        <w:rPr>
          <w:rFonts w:ascii="Calibri" w:hAnsi="Calibri" w:cs="Calibri"/>
          <w:b/>
          <w:sz w:val="22"/>
          <w:szCs w:val="22"/>
        </w:rPr>
        <w:t xml:space="preserve"> № </w:t>
      </w:r>
      <w:r w:rsidR="00E7012F">
        <w:rPr>
          <w:rFonts w:ascii="Calibri" w:hAnsi="Calibri" w:cs="Calibri"/>
          <w:b/>
          <w:sz w:val="22"/>
          <w:szCs w:val="22"/>
        </w:rPr>
        <w:t>2</w:t>
      </w:r>
      <w:r w:rsidR="004A0CAD" w:rsidRPr="0074615C">
        <w:rPr>
          <w:rFonts w:ascii="Calibri" w:hAnsi="Calibri" w:cs="Calibri"/>
          <w:b/>
          <w:sz w:val="22"/>
          <w:szCs w:val="22"/>
        </w:rPr>
        <w:t>)</w:t>
      </w:r>
      <w:r w:rsidR="004A0CAD">
        <w:rPr>
          <w:rFonts w:ascii="Calibri" w:hAnsi="Calibri" w:cs="Calibri"/>
          <w:sz w:val="22"/>
          <w:szCs w:val="22"/>
        </w:rPr>
        <w:t xml:space="preserve"> </w:t>
      </w:r>
      <w:r>
        <w:rPr>
          <w:rFonts w:ascii="Calibri" w:hAnsi="Calibri" w:cs="Calibri"/>
          <w:sz w:val="22"/>
          <w:szCs w:val="22"/>
        </w:rPr>
        <w:t>както следва:</w:t>
      </w:r>
    </w:p>
    <w:tbl>
      <w:tblPr>
        <w:tblW w:w="9007" w:type="dxa"/>
        <w:tblInd w:w="55" w:type="dxa"/>
        <w:tblCellMar>
          <w:left w:w="70" w:type="dxa"/>
          <w:right w:w="70" w:type="dxa"/>
        </w:tblCellMar>
        <w:tblLook w:val="04A0" w:firstRow="1" w:lastRow="0" w:firstColumn="1" w:lastColumn="0" w:noHBand="0" w:noVBand="1"/>
      </w:tblPr>
      <w:tblGrid>
        <w:gridCol w:w="1920"/>
        <w:gridCol w:w="1843"/>
        <w:gridCol w:w="1701"/>
        <w:gridCol w:w="2095"/>
        <w:gridCol w:w="1448"/>
      </w:tblGrid>
      <w:tr w:rsidR="0047438C" w:rsidRPr="0047438C" w14:paraId="65169434" w14:textId="77777777" w:rsidTr="009A475F">
        <w:trPr>
          <w:trHeight w:val="435"/>
        </w:trPr>
        <w:tc>
          <w:tcPr>
            <w:tcW w:w="9007" w:type="dxa"/>
            <w:gridSpan w:val="5"/>
            <w:tcBorders>
              <w:top w:val="single" w:sz="8" w:space="0" w:color="E26B0A"/>
              <w:left w:val="single" w:sz="8" w:space="0" w:color="E26B0A"/>
              <w:bottom w:val="single" w:sz="8" w:space="0" w:color="E26B0A"/>
              <w:right w:val="single" w:sz="8" w:space="0" w:color="E26B0A"/>
            </w:tcBorders>
            <w:shd w:val="clear" w:color="000000" w:fill="E26B0A"/>
            <w:vAlign w:val="center"/>
            <w:hideMark/>
          </w:tcPr>
          <w:p w14:paraId="6236A2F6" w14:textId="77777777" w:rsidR="0047438C" w:rsidRPr="0047438C" w:rsidRDefault="0047438C" w:rsidP="0047438C">
            <w:pPr>
              <w:jc w:val="center"/>
              <w:rPr>
                <w:rFonts w:eastAsia="Times New Roman" w:cs="Arial"/>
                <w:b/>
                <w:bCs/>
                <w:color w:val="FFFFFF"/>
                <w:sz w:val="20"/>
                <w:szCs w:val="20"/>
                <w:lang w:eastAsia="bg-BG"/>
              </w:rPr>
            </w:pPr>
            <w:r w:rsidRPr="0047438C">
              <w:rPr>
                <w:rFonts w:eastAsia="Times New Roman" w:cs="Arial"/>
                <w:b/>
                <w:bCs/>
                <w:color w:val="FFFFFF"/>
                <w:sz w:val="20"/>
                <w:szCs w:val="20"/>
                <w:lang w:eastAsia="bg-BG"/>
              </w:rPr>
              <w:t>Основни клиенти на "ДКЦ Чайка  ЕООД с относителен дял над 10% от приходите от продажби</w:t>
            </w:r>
          </w:p>
        </w:tc>
      </w:tr>
      <w:tr w:rsidR="0047438C" w:rsidRPr="0047438C" w14:paraId="48C94CC0" w14:textId="77777777" w:rsidTr="009A475F">
        <w:trPr>
          <w:trHeight w:val="1080"/>
        </w:trPr>
        <w:tc>
          <w:tcPr>
            <w:tcW w:w="1920" w:type="dxa"/>
            <w:tcBorders>
              <w:top w:val="nil"/>
              <w:left w:val="single" w:sz="8" w:space="0" w:color="E26B0A"/>
              <w:bottom w:val="single" w:sz="8" w:space="0" w:color="E26B0A"/>
              <w:right w:val="single" w:sz="8" w:space="0" w:color="E26B0A"/>
            </w:tcBorders>
            <w:shd w:val="clear" w:color="000000" w:fill="FABF8F"/>
            <w:noWrap/>
            <w:vAlign w:val="center"/>
            <w:hideMark/>
          </w:tcPr>
          <w:p w14:paraId="2E406AC1" w14:textId="77777777" w:rsidR="0047438C" w:rsidRPr="0047438C" w:rsidRDefault="0047438C" w:rsidP="0047438C">
            <w:pPr>
              <w:jc w:val="center"/>
              <w:rPr>
                <w:rFonts w:eastAsia="Times New Roman" w:cs="Arial"/>
                <w:b/>
                <w:bCs/>
                <w:sz w:val="20"/>
                <w:szCs w:val="20"/>
                <w:lang w:eastAsia="bg-BG"/>
              </w:rPr>
            </w:pPr>
            <w:r w:rsidRPr="0047438C">
              <w:rPr>
                <w:rFonts w:eastAsia="Times New Roman" w:cs="Arial"/>
                <w:b/>
                <w:bCs/>
                <w:sz w:val="20"/>
                <w:szCs w:val="20"/>
                <w:lang w:eastAsia="bg-BG"/>
              </w:rPr>
              <w:t>Наименование</w:t>
            </w:r>
          </w:p>
        </w:tc>
        <w:tc>
          <w:tcPr>
            <w:tcW w:w="1843" w:type="dxa"/>
            <w:tcBorders>
              <w:top w:val="nil"/>
              <w:left w:val="nil"/>
              <w:bottom w:val="single" w:sz="8" w:space="0" w:color="E26B0A"/>
              <w:right w:val="single" w:sz="8" w:space="0" w:color="E26B0A"/>
            </w:tcBorders>
            <w:shd w:val="clear" w:color="000000" w:fill="FABF8F"/>
            <w:vAlign w:val="center"/>
            <w:hideMark/>
          </w:tcPr>
          <w:p w14:paraId="784C3C1C" w14:textId="77777777" w:rsidR="0047438C" w:rsidRPr="0047438C" w:rsidRDefault="0047438C" w:rsidP="0047438C">
            <w:pPr>
              <w:jc w:val="center"/>
              <w:rPr>
                <w:rFonts w:eastAsia="Times New Roman" w:cs="Arial"/>
                <w:b/>
                <w:bCs/>
                <w:sz w:val="20"/>
                <w:szCs w:val="20"/>
                <w:lang w:eastAsia="bg-BG"/>
              </w:rPr>
            </w:pPr>
            <w:r w:rsidRPr="0047438C">
              <w:rPr>
                <w:rFonts w:eastAsia="Times New Roman" w:cs="Arial"/>
                <w:b/>
                <w:bCs/>
                <w:sz w:val="20"/>
                <w:szCs w:val="20"/>
                <w:lang w:eastAsia="bg-BG"/>
              </w:rPr>
              <w:t>относителен дял %</w:t>
            </w:r>
          </w:p>
        </w:tc>
        <w:tc>
          <w:tcPr>
            <w:tcW w:w="1701" w:type="dxa"/>
            <w:tcBorders>
              <w:top w:val="nil"/>
              <w:left w:val="nil"/>
              <w:bottom w:val="single" w:sz="8" w:space="0" w:color="E26B0A"/>
              <w:right w:val="single" w:sz="8" w:space="0" w:color="E26B0A"/>
            </w:tcBorders>
            <w:shd w:val="clear" w:color="000000" w:fill="FABF8F"/>
            <w:vAlign w:val="center"/>
            <w:hideMark/>
          </w:tcPr>
          <w:p w14:paraId="1FAB01C0" w14:textId="77777777" w:rsidR="0047438C" w:rsidRPr="0047438C" w:rsidRDefault="0047438C" w:rsidP="0047438C">
            <w:pPr>
              <w:jc w:val="center"/>
              <w:rPr>
                <w:rFonts w:eastAsia="Times New Roman" w:cs="Arial"/>
                <w:b/>
                <w:bCs/>
                <w:sz w:val="20"/>
                <w:szCs w:val="20"/>
                <w:lang w:eastAsia="bg-BG"/>
              </w:rPr>
            </w:pPr>
            <w:r w:rsidRPr="0047438C">
              <w:rPr>
                <w:rFonts w:eastAsia="Times New Roman" w:cs="Arial"/>
                <w:b/>
                <w:bCs/>
                <w:sz w:val="20"/>
                <w:szCs w:val="20"/>
                <w:lang w:eastAsia="bg-BG"/>
              </w:rPr>
              <w:t>ЕИК</w:t>
            </w:r>
          </w:p>
        </w:tc>
        <w:tc>
          <w:tcPr>
            <w:tcW w:w="2095" w:type="dxa"/>
            <w:tcBorders>
              <w:top w:val="nil"/>
              <w:left w:val="nil"/>
              <w:bottom w:val="single" w:sz="8" w:space="0" w:color="E26B0A"/>
              <w:right w:val="single" w:sz="8" w:space="0" w:color="E26B0A"/>
            </w:tcBorders>
            <w:shd w:val="clear" w:color="000000" w:fill="FABF8F"/>
            <w:vAlign w:val="center"/>
            <w:hideMark/>
          </w:tcPr>
          <w:p w14:paraId="7E6ED4B9" w14:textId="77777777" w:rsidR="0047438C" w:rsidRPr="0047438C" w:rsidRDefault="0047438C" w:rsidP="0047438C">
            <w:pPr>
              <w:jc w:val="center"/>
              <w:rPr>
                <w:rFonts w:eastAsia="Times New Roman" w:cs="Arial"/>
                <w:b/>
                <w:bCs/>
                <w:sz w:val="20"/>
                <w:szCs w:val="20"/>
                <w:lang w:eastAsia="bg-BG"/>
              </w:rPr>
            </w:pPr>
            <w:r w:rsidRPr="0047438C">
              <w:rPr>
                <w:rFonts w:eastAsia="Times New Roman" w:cs="Arial"/>
                <w:b/>
                <w:bCs/>
                <w:sz w:val="20"/>
                <w:szCs w:val="20"/>
                <w:lang w:eastAsia="bg-BG"/>
              </w:rPr>
              <w:t>седалище и адрес на управление</w:t>
            </w:r>
          </w:p>
        </w:tc>
        <w:tc>
          <w:tcPr>
            <w:tcW w:w="1448" w:type="dxa"/>
            <w:tcBorders>
              <w:top w:val="nil"/>
              <w:left w:val="nil"/>
              <w:bottom w:val="single" w:sz="8" w:space="0" w:color="E26B0A"/>
              <w:right w:val="single" w:sz="8" w:space="0" w:color="E26B0A"/>
            </w:tcBorders>
            <w:shd w:val="clear" w:color="000000" w:fill="FABF8F"/>
            <w:hideMark/>
          </w:tcPr>
          <w:p w14:paraId="7CE3C353" w14:textId="77777777" w:rsidR="0047438C" w:rsidRPr="0047438C" w:rsidRDefault="0047438C" w:rsidP="0047438C">
            <w:pPr>
              <w:jc w:val="center"/>
              <w:rPr>
                <w:rFonts w:eastAsia="Times New Roman" w:cs="Arial"/>
                <w:b/>
                <w:bCs/>
                <w:sz w:val="20"/>
                <w:szCs w:val="20"/>
                <w:lang w:eastAsia="bg-BG"/>
              </w:rPr>
            </w:pPr>
            <w:r w:rsidRPr="0047438C">
              <w:rPr>
                <w:rFonts w:eastAsia="Times New Roman" w:cs="Arial"/>
                <w:b/>
                <w:bCs/>
                <w:sz w:val="20"/>
                <w:szCs w:val="20"/>
                <w:lang w:eastAsia="bg-BG"/>
              </w:rPr>
              <w:t>връзка / взаимоотно-шения с дружеството</w:t>
            </w:r>
          </w:p>
        </w:tc>
      </w:tr>
      <w:tr w:rsidR="0047438C" w:rsidRPr="0047438C" w14:paraId="54969E4E" w14:textId="77777777" w:rsidTr="009A475F">
        <w:trPr>
          <w:trHeight w:val="540"/>
        </w:trPr>
        <w:tc>
          <w:tcPr>
            <w:tcW w:w="1920" w:type="dxa"/>
            <w:tcBorders>
              <w:top w:val="nil"/>
              <w:left w:val="single" w:sz="8" w:space="0" w:color="E26B0A"/>
              <w:bottom w:val="single" w:sz="8" w:space="0" w:color="E26B0A"/>
              <w:right w:val="single" w:sz="8" w:space="0" w:color="E26B0A"/>
            </w:tcBorders>
            <w:shd w:val="clear" w:color="000000" w:fill="FDE9D9"/>
            <w:hideMark/>
          </w:tcPr>
          <w:p w14:paraId="6D92367E" w14:textId="77777777" w:rsidR="0047438C" w:rsidRPr="0047438C" w:rsidRDefault="0047438C" w:rsidP="0047438C">
            <w:pPr>
              <w:jc w:val="both"/>
              <w:rPr>
                <w:rFonts w:eastAsia="Times New Roman" w:cs="Arial"/>
                <w:sz w:val="20"/>
                <w:szCs w:val="20"/>
                <w:lang w:eastAsia="bg-BG"/>
              </w:rPr>
            </w:pPr>
            <w:r w:rsidRPr="0047438C">
              <w:rPr>
                <w:rFonts w:eastAsia="Times New Roman" w:cs="Arial"/>
                <w:sz w:val="20"/>
                <w:szCs w:val="20"/>
                <w:lang w:eastAsia="bg-BG"/>
              </w:rPr>
              <w:t>РЗОК</w:t>
            </w:r>
          </w:p>
        </w:tc>
        <w:tc>
          <w:tcPr>
            <w:tcW w:w="1843" w:type="dxa"/>
            <w:tcBorders>
              <w:top w:val="nil"/>
              <w:left w:val="nil"/>
              <w:bottom w:val="single" w:sz="8" w:space="0" w:color="E26B0A"/>
              <w:right w:val="single" w:sz="8" w:space="0" w:color="E26B0A"/>
            </w:tcBorders>
            <w:shd w:val="clear" w:color="000000" w:fill="FDE9D9"/>
            <w:hideMark/>
          </w:tcPr>
          <w:p w14:paraId="1D416A53" w14:textId="75CF8EEC" w:rsidR="0047438C" w:rsidRPr="0047438C" w:rsidRDefault="00BE2DA3" w:rsidP="0047438C">
            <w:pPr>
              <w:jc w:val="center"/>
              <w:rPr>
                <w:rFonts w:eastAsia="Times New Roman" w:cs="Arial"/>
                <w:sz w:val="20"/>
                <w:szCs w:val="20"/>
                <w:lang w:eastAsia="bg-BG"/>
              </w:rPr>
            </w:pPr>
            <w:r w:rsidRPr="00BE2DA3">
              <w:rPr>
                <w:rFonts w:eastAsia="Times New Roman" w:cs="Calibri"/>
                <w:sz w:val="20"/>
                <w:szCs w:val="20"/>
                <w:lang w:val="en-US"/>
              </w:rPr>
              <w:t>64,65</w:t>
            </w:r>
          </w:p>
        </w:tc>
        <w:tc>
          <w:tcPr>
            <w:tcW w:w="1701" w:type="dxa"/>
            <w:tcBorders>
              <w:top w:val="nil"/>
              <w:left w:val="nil"/>
              <w:bottom w:val="single" w:sz="8" w:space="0" w:color="E26B0A"/>
              <w:right w:val="single" w:sz="8" w:space="0" w:color="E26B0A"/>
            </w:tcBorders>
            <w:shd w:val="clear" w:color="000000" w:fill="FDE9D9"/>
            <w:hideMark/>
          </w:tcPr>
          <w:p w14:paraId="7198B104" w14:textId="77777777" w:rsidR="0047438C" w:rsidRPr="0047438C" w:rsidRDefault="0047438C" w:rsidP="0047438C">
            <w:pPr>
              <w:jc w:val="both"/>
              <w:rPr>
                <w:rFonts w:eastAsia="Times New Roman" w:cs="Arial"/>
                <w:sz w:val="20"/>
                <w:szCs w:val="20"/>
                <w:lang w:eastAsia="bg-BG"/>
              </w:rPr>
            </w:pPr>
            <w:r w:rsidRPr="0047438C">
              <w:rPr>
                <w:rFonts w:eastAsia="Times New Roman" w:cs="Arial"/>
                <w:sz w:val="20"/>
                <w:szCs w:val="20"/>
                <w:lang w:eastAsia="bg-BG"/>
              </w:rPr>
              <w:t>1218582201450</w:t>
            </w:r>
          </w:p>
        </w:tc>
        <w:tc>
          <w:tcPr>
            <w:tcW w:w="2095" w:type="dxa"/>
            <w:tcBorders>
              <w:top w:val="nil"/>
              <w:left w:val="nil"/>
              <w:bottom w:val="single" w:sz="8" w:space="0" w:color="E26B0A"/>
              <w:right w:val="single" w:sz="8" w:space="0" w:color="E26B0A"/>
            </w:tcBorders>
            <w:shd w:val="clear" w:color="000000" w:fill="FDE9D9"/>
            <w:hideMark/>
          </w:tcPr>
          <w:p w14:paraId="09CBCF82" w14:textId="77777777" w:rsidR="0047438C" w:rsidRPr="0047438C" w:rsidRDefault="0047438C" w:rsidP="0047438C">
            <w:pPr>
              <w:jc w:val="center"/>
              <w:rPr>
                <w:rFonts w:eastAsia="Times New Roman" w:cs="Arial"/>
                <w:sz w:val="20"/>
                <w:szCs w:val="20"/>
                <w:lang w:eastAsia="bg-BG"/>
              </w:rPr>
            </w:pPr>
            <w:r w:rsidRPr="0047438C">
              <w:rPr>
                <w:rFonts w:eastAsia="Times New Roman" w:cs="Arial"/>
                <w:sz w:val="20"/>
                <w:szCs w:val="20"/>
                <w:lang w:eastAsia="bg-BG"/>
              </w:rPr>
              <w:t>гр.Варна бул.Цар Освободител 76</w:t>
            </w:r>
          </w:p>
        </w:tc>
        <w:tc>
          <w:tcPr>
            <w:tcW w:w="1448" w:type="dxa"/>
            <w:tcBorders>
              <w:top w:val="nil"/>
              <w:left w:val="nil"/>
              <w:bottom w:val="single" w:sz="8" w:space="0" w:color="E26B0A"/>
              <w:right w:val="single" w:sz="8" w:space="0" w:color="E26B0A"/>
            </w:tcBorders>
            <w:shd w:val="clear" w:color="000000" w:fill="FDE9D9"/>
            <w:hideMark/>
          </w:tcPr>
          <w:p w14:paraId="6AE454D0" w14:textId="77777777" w:rsidR="0047438C" w:rsidRPr="0047438C" w:rsidRDefault="0047438C" w:rsidP="0047438C">
            <w:pPr>
              <w:jc w:val="center"/>
              <w:rPr>
                <w:rFonts w:eastAsia="Times New Roman" w:cs="Arial"/>
                <w:sz w:val="20"/>
                <w:szCs w:val="20"/>
                <w:lang w:eastAsia="bg-BG"/>
              </w:rPr>
            </w:pPr>
            <w:r w:rsidRPr="0047438C">
              <w:rPr>
                <w:rFonts w:eastAsia="Times New Roman" w:cs="Arial"/>
                <w:sz w:val="20"/>
                <w:szCs w:val="20"/>
                <w:lang w:eastAsia="bg-BG"/>
              </w:rPr>
              <w:t>Договор</w:t>
            </w:r>
          </w:p>
        </w:tc>
      </w:tr>
    </w:tbl>
    <w:p w14:paraId="31440229" w14:textId="77777777" w:rsidR="009539A7" w:rsidRDefault="009539A7" w:rsidP="00B41CDC">
      <w:pPr>
        <w:pStyle w:val="BodyText"/>
        <w:jc w:val="both"/>
        <w:rPr>
          <w:rFonts w:ascii="Calibri" w:hAnsi="Calibri" w:cs="Calibri"/>
          <w:sz w:val="22"/>
          <w:szCs w:val="22"/>
          <w:lang w:val="en-US"/>
        </w:rPr>
      </w:pPr>
    </w:p>
    <w:p w14:paraId="1913A0FC" w14:textId="77777777" w:rsidR="0047438C" w:rsidRDefault="0047438C" w:rsidP="00B41CDC">
      <w:pPr>
        <w:pStyle w:val="BodyText"/>
        <w:jc w:val="both"/>
        <w:rPr>
          <w:rFonts w:ascii="Calibri" w:hAnsi="Calibri" w:cs="Calibri"/>
          <w:sz w:val="22"/>
          <w:szCs w:val="22"/>
          <w:lang w:val="en-US"/>
        </w:rPr>
      </w:pPr>
    </w:p>
    <w:p w14:paraId="08C64526" w14:textId="0ED9E061" w:rsidR="00AD0928" w:rsidRPr="00523AD2" w:rsidRDefault="007B0CDF" w:rsidP="004A0CAD">
      <w:pPr>
        <w:pStyle w:val="BodyText"/>
        <w:jc w:val="both"/>
        <w:rPr>
          <w:rFonts w:ascii="Calibri" w:hAnsi="Calibri" w:cs="Calibri"/>
          <w:sz w:val="22"/>
          <w:szCs w:val="22"/>
        </w:rPr>
      </w:pPr>
      <w:r w:rsidRPr="00523AD2">
        <w:rPr>
          <w:rFonts w:ascii="Calibri" w:hAnsi="Calibri" w:cs="Calibri"/>
          <w:sz w:val="22"/>
          <w:szCs w:val="22"/>
        </w:rPr>
        <w:lastRenderedPageBreak/>
        <w:t>Основните доставчици на  “</w:t>
      </w:r>
      <w:r w:rsidR="003C0C35" w:rsidRPr="00523AD2">
        <w:rPr>
          <w:rFonts w:ascii="Calibri" w:hAnsi="Calibri" w:cs="Calibri"/>
          <w:sz w:val="22"/>
          <w:szCs w:val="22"/>
        </w:rPr>
        <w:t xml:space="preserve"> ДКЦ Чайка ” ЕООД</w:t>
      </w:r>
      <w:r w:rsidRPr="00523AD2">
        <w:rPr>
          <w:rFonts w:ascii="Calibri" w:hAnsi="Calibri" w:cs="Calibri"/>
          <w:sz w:val="22"/>
          <w:szCs w:val="22"/>
        </w:rPr>
        <w:t xml:space="preserve">, техния относителен дял в общите </w:t>
      </w:r>
      <w:r w:rsidR="00B41CDC" w:rsidRPr="00523AD2">
        <w:rPr>
          <w:rFonts w:ascii="Calibri" w:hAnsi="Calibri" w:cs="Calibri"/>
          <w:sz w:val="22"/>
          <w:szCs w:val="22"/>
        </w:rPr>
        <w:t>разходи</w:t>
      </w:r>
      <w:r w:rsidRPr="00523AD2">
        <w:rPr>
          <w:rFonts w:ascii="Calibri" w:hAnsi="Calibri" w:cs="Calibri"/>
          <w:sz w:val="22"/>
          <w:szCs w:val="22"/>
        </w:rPr>
        <w:t xml:space="preserve"> за </w:t>
      </w:r>
      <w:r w:rsidR="00487716" w:rsidRPr="00523AD2">
        <w:rPr>
          <w:rFonts w:ascii="Calibri" w:hAnsi="Calibri" w:cs="Calibri"/>
          <w:sz w:val="22"/>
          <w:szCs w:val="22"/>
        </w:rPr>
        <w:t>2021</w:t>
      </w:r>
      <w:r w:rsidRPr="00523AD2">
        <w:rPr>
          <w:rFonts w:ascii="Calibri" w:hAnsi="Calibri" w:cs="Calibri"/>
          <w:sz w:val="22"/>
          <w:szCs w:val="22"/>
        </w:rPr>
        <w:t xml:space="preserve">г. и изменението спрямо </w:t>
      </w:r>
      <w:r w:rsidR="00487716" w:rsidRPr="00523AD2">
        <w:rPr>
          <w:rFonts w:ascii="Calibri" w:hAnsi="Calibri" w:cs="Calibri"/>
          <w:sz w:val="22"/>
          <w:szCs w:val="22"/>
        </w:rPr>
        <w:t xml:space="preserve">2020 </w:t>
      </w:r>
      <w:r w:rsidRPr="00523AD2">
        <w:rPr>
          <w:rFonts w:ascii="Calibri" w:hAnsi="Calibri" w:cs="Calibri"/>
          <w:sz w:val="22"/>
          <w:szCs w:val="22"/>
        </w:rPr>
        <w:t xml:space="preserve">г. </w:t>
      </w:r>
      <w:r w:rsidR="004A0CAD" w:rsidRPr="00523AD2">
        <w:rPr>
          <w:rFonts w:ascii="Calibri" w:hAnsi="Calibri" w:cs="Calibri"/>
          <w:b/>
          <w:sz w:val="22"/>
          <w:szCs w:val="22"/>
        </w:rPr>
        <w:t>(съгл. т.2 от Приложение</w:t>
      </w:r>
      <w:r w:rsidR="00965ADD" w:rsidRPr="00523AD2">
        <w:rPr>
          <w:rFonts w:ascii="Calibri" w:hAnsi="Calibri" w:cs="Calibri"/>
          <w:b/>
          <w:sz w:val="22"/>
          <w:szCs w:val="22"/>
        </w:rPr>
        <w:t xml:space="preserve"> № </w:t>
      </w:r>
      <w:r w:rsidR="00E7012F" w:rsidRPr="00523AD2">
        <w:rPr>
          <w:rFonts w:ascii="Calibri" w:hAnsi="Calibri" w:cs="Calibri"/>
          <w:b/>
          <w:sz w:val="22"/>
          <w:szCs w:val="22"/>
        </w:rPr>
        <w:t>2</w:t>
      </w:r>
      <w:r w:rsidR="004A0CAD" w:rsidRPr="00523AD2">
        <w:rPr>
          <w:rFonts w:ascii="Calibri" w:hAnsi="Calibri" w:cs="Calibri"/>
          <w:b/>
          <w:sz w:val="22"/>
          <w:szCs w:val="22"/>
        </w:rPr>
        <w:t>)</w:t>
      </w:r>
      <w:r w:rsidR="004A0CAD" w:rsidRPr="00523AD2">
        <w:rPr>
          <w:rFonts w:ascii="Calibri" w:hAnsi="Calibri" w:cs="Calibri"/>
          <w:sz w:val="22"/>
          <w:szCs w:val="22"/>
        </w:rPr>
        <w:t xml:space="preserve"> </w:t>
      </w:r>
      <w:r w:rsidRPr="00523AD2">
        <w:rPr>
          <w:rFonts w:ascii="Calibri" w:hAnsi="Calibri" w:cs="Calibri"/>
          <w:sz w:val="22"/>
          <w:szCs w:val="22"/>
        </w:rPr>
        <w:t>са както следва:</w:t>
      </w:r>
    </w:p>
    <w:tbl>
      <w:tblPr>
        <w:tblW w:w="9062" w:type="dxa"/>
        <w:tblLook w:val="04A0" w:firstRow="1" w:lastRow="0" w:firstColumn="1" w:lastColumn="0" w:noHBand="0" w:noVBand="1"/>
      </w:tblPr>
      <w:tblGrid>
        <w:gridCol w:w="5093"/>
        <w:gridCol w:w="1134"/>
        <w:gridCol w:w="1134"/>
        <w:gridCol w:w="1701"/>
      </w:tblGrid>
      <w:tr w:rsidR="00523AD2" w:rsidRPr="00523AD2" w14:paraId="6B69DED8" w14:textId="77777777" w:rsidTr="009A475F">
        <w:trPr>
          <w:trHeight w:val="288"/>
        </w:trPr>
        <w:tc>
          <w:tcPr>
            <w:tcW w:w="9062" w:type="dxa"/>
            <w:gridSpan w:val="4"/>
            <w:tcBorders>
              <w:top w:val="single" w:sz="8" w:space="0" w:color="E26B0A"/>
              <w:left w:val="single" w:sz="8" w:space="0" w:color="E26B0A"/>
              <w:bottom w:val="single" w:sz="8" w:space="0" w:color="E26B0A"/>
              <w:right w:val="single" w:sz="8" w:space="0" w:color="E26B0A"/>
            </w:tcBorders>
            <w:shd w:val="clear" w:color="000000" w:fill="E26B0A"/>
            <w:hideMark/>
          </w:tcPr>
          <w:p w14:paraId="36B8D255" w14:textId="77777777" w:rsidR="00523AD2" w:rsidRPr="00523AD2" w:rsidRDefault="00523AD2" w:rsidP="00523AD2">
            <w:pPr>
              <w:jc w:val="center"/>
              <w:rPr>
                <w:rFonts w:eastAsia="Times New Roman" w:cs="Calibri"/>
                <w:b/>
                <w:bCs/>
                <w:color w:val="FFFFFF"/>
                <w:sz w:val="20"/>
                <w:szCs w:val="20"/>
                <w:lang w:val="en-US"/>
              </w:rPr>
            </w:pPr>
            <w:r w:rsidRPr="00523AD2">
              <w:rPr>
                <w:rFonts w:eastAsia="Times New Roman" w:cs="Calibri"/>
                <w:b/>
                <w:bCs/>
                <w:color w:val="FFFFFF"/>
                <w:sz w:val="20"/>
                <w:szCs w:val="20"/>
                <w:lang w:val="en-US"/>
              </w:rPr>
              <w:t>Основни доставчици на "ДКЦ Чайка"  ЕООД</w:t>
            </w:r>
          </w:p>
        </w:tc>
      </w:tr>
      <w:tr w:rsidR="00523AD2" w:rsidRPr="00523AD2" w14:paraId="2C0569FF" w14:textId="77777777" w:rsidTr="009A475F">
        <w:trPr>
          <w:trHeight w:val="288"/>
        </w:trPr>
        <w:tc>
          <w:tcPr>
            <w:tcW w:w="5093" w:type="dxa"/>
            <w:vMerge w:val="restart"/>
            <w:tcBorders>
              <w:top w:val="nil"/>
              <w:left w:val="single" w:sz="8" w:space="0" w:color="E26B0A"/>
              <w:bottom w:val="single" w:sz="8" w:space="0" w:color="E26B0A"/>
              <w:right w:val="single" w:sz="8" w:space="0" w:color="E26B0A"/>
            </w:tcBorders>
            <w:shd w:val="clear" w:color="000000" w:fill="FABF8F"/>
            <w:noWrap/>
            <w:vAlign w:val="center"/>
            <w:hideMark/>
          </w:tcPr>
          <w:p w14:paraId="5796E7BF" w14:textId="77777777" w:rsidR="00523AD2" w:rsidRPr="00523AD2" w:rsidRDefault="00523AD2" w:rsidP="00523AD2">
            <w:pPr>
              <w:jc w:val="center"/>
              <w:rPr>
                <w:rFonts w:eastAsia="Times New Roman" w:cs="Calibri"/>
                <w:b/>
                <w:bCs/>
                <w:sz w:val="20"/>
                <w:szCs w:val="20"/>
                <w:lang w:val="en-US"/>
              </w:rPr>
            </w:pPr>
            <w:r w:rsidRPr="00523AD2">
              <w:rPr>
                <w:rFonts w:eastAsia="Times New Roman" w:cs="Calibri"/>
                <w:b/>
                <w:bCs/>
                <w:sz w:val="20"/>
                <w:szCs w:val="20"/>
                <w:lang w:val="en-US"/>
              </w:rPr>
              <w:t>Наименование</w:t>
            </w:r>
          </w:p>
        </w:tc>
        <w:tc>
          <w:tcPr>
            <w:tcW w:w="3969" w:type="dxa"/>
            <w:gridSpan w:val="3"/>
            <w:tcBorders>
              <w:top w:val="single" w:sz="8" w:space="0" w:color="E26B0A"/>
              <w:left w:val="nil"/>
              <w:bottom w:val="single" w:sz="8" w:space="0" w:color="E26B0A"/>
              <w:right w:val="single" w:sz="8" w:space="0" w:color="E26B0A"/>
            </w:tcBorders>
            <w:shd w:val="clear" w:color="000000" w:fill="FABF8F"/>
            <w:hideMark/>
          </w:tcPr>
          <w:p w14:paraId="53457E26" w14:textId="77777777" w:rsidR="00523AD2" w:rsidRPr="00523AD2" w:rsidRDefault="00523AD2" w:rsidP="00523AD2">
            <w:pPr>
              <w:jc w:val="center"/>
              <w:rPr>
                <w:rFonts w:eastAsia="Times New Roman" w:cs="Calibri"/>
                <w:b/>
                <w:bCs/>
                <w:sz w:val="20"/>
                <w:szCs w:val="20"/>
                <w:lang w:val="en-US"/>
              </w:rPr>
            </w:pPr>
            <w:r w:rsidRPr="00523AD2">
              <w:rPr>
                <w:rFonts w:eastAsia="Times New Roman" w:cs="Calibri"/>
                <w:b/>
                <w:bCs/>
                <w:sz w:val="20"/>
                <w:szCs w:val="20"/>
                <w:lang w:val="en-US"/>
              </w:rPr>
              <w:t>относителен дял</w:t>
            </w:r>
          </w:p>
        </w:tc>
      </w:tr>
      <w:tr w:rsidR="00523AD2" w:rsidRPr="00523AD2" w14:paraId="53398739" w14:textId="77777777" w:rsidTr="009A475F">
        <w:trPr>
          <w:trHeight w:val="564"/>
        </w:trPr>
        <w:tc>
          <w:tcPr>
            <w:tcW w:w="5093" w:type="dxa"/>
            <w:vMerge/>
            <w:tcBorders>
              <w:top w:val="nil"/>
              <w:left w:val="single" w:sz="8" w:space="0" w:color="E26B0A"/>
              <w:bottom w:val="single" w:sz="8" w:space="0" w:color="E26B0A"/>
              <w:right w:val="single" w:sz="8" w:space="0" w:color="E26B0A"/>
            </w:tcBorders>
            <w:vAlign w:val="center"/>
            <w:hideMark/>
          </w:tcPr>
          <w:p w14:paraId="66C02E95" w14:textId="77777777" w:rsidR="00523AD2" w:rsidRPr="00523AD2" w:rsidRDefault="00523AD2" w:rsidP="00523AD2">
            <w:pPr>
              <w:rPr>
                <w:rFonts w:eastAsia="Times New Roman" w:cs="Calibri"/>
                <w:b/>
                <w:bCs/>
                <w:sz w:val="20"/>
                <w:szCs w:val="20"/>
                <w:lang w:val="en-US"/>
              </w:rPr>
            </w:pPr>
          </w:p>
        </w:tc>
        <w:tc>
          <w:tcPr>
            <w:tcW w:w="1134" w:type="dxa"/>
            <w:tcBorders>
              <w:top w:val="nil"/>
              <w:left w:val="nil"/>
              <w:bottom w:val="single" w:sz="8" w:space="0" w:color="E26B0A"/>
              <w:right w:val="single" w:sz="8" w:space="0" w:color="E26B0A"/>
            </w:tcBorders>
            <w:shd w:val="clear" w:color="000000" w:fill="FABF8F"/>
            <w:vAlign w:val="center"/>
            <w:hideMark/>
          </w:tcPr>
          <w:p w14:paraId="75C7E6E3" w14:textId="77777777" w:rsidR="00523AD2" w:rsidRPr="00523AD2" w:rsidRDefault="00523AD2" w:rsidP="00523AD2">
            <w:pPr>
              <w:jc w:val="center"/>
              <w:rPr>
                <w:rFonts w:eastAsia="Times New Roman" w:cs="Calibri"/>
                <w:b/>
                <w:bCs/>
                <w:sz w:val="20"/>
                <w:szCs w:val="20"/>
                <w:lang w:val="en-US"/>
              </w:rPr>
            </w:pPr>
            <w:r w:rsidRPr="00523AD2">
              <w:rPr>
                <w:rFonts w:eastAsia="Times New Roman" w:cs="Calibri"/>
                <w:b/>
                <w:bCs/>
                <w:sz w:val="20"/>
                <w:szCs w:val="20"/>
                <w:lang w:val="en-US"/>
              </w:rPr>
              <w:t>2021</w:t>
            </w:r>
          </w:p>
        </w:tc>
        <w:tc>
          <w:tcPr>
            <w:tcW w:w="1134" w:type="dxa"/>
            <w:tcBorders>
              <w:top w:val="nil"/>
              <w:left w:val="nil"/>
              <w:bottom w:val="single" w:sz="8" w:space="0" w:color="E26B0A"/>
              <w:right w:val="single" w:sz="8" w:space="0" w:color="E26B0A"/>
            </w:tcBorders>
            <w:shd w:val="clear" w:color="000000" w:fill="FABF8F"/>
            <w:vAlign w:val="center"/>
            <w:hideMark/>
          </w:tcPr>
          <w:p w14:paraId="10F18DBA" w14:textId="77777777" w:rsidR="00523AD2" w:rsidRPr="00523AD2" w:rsidRDefault="00523AD2" w:rsidP="00523AD2">
            <w:pPr>
              <w:jc w:val="center"/>
              <w:rPr>
                <w:rFonts w:eastAsia="Times New Roman" w:cs="Calibri"/>
                <w:b/>
                <w:bCs/>
                <w:sz w:val="20"/>
                <w:szCs w:val="20"/>
                <w:lang w:val="en-US"/>
              </w:rPr>
            </w:pPr>
            <w:r w:rsidRPr="00523AD2">
              <w:rPr>
                <w:rFonts w:eastAsia="Times New Roman" w:cs="Calibri"/>
                <w:b/>
                <w:bCs/>
                <w:sz w:val="20"/>
                <w:szCs w:val="20"/>
                <w:lang w:val="en-US"/>
              </w:rPr>
              <w:t>2020</w:t>
            </w:r>
          </w:p>
        </w:tc>
        <w:tc>
          <w:tcPr>
            <w:tcW w:w="1701" w:type="dxa"/>
            <w:tcBorders>
              <w:top w:val="nil"/>
              <w:left w:val="nil"/>
              <w:bottom w:val="single" w:sz="8" w:space="0" w:color="E26B0A"/>
              <w:right w:val="single" w:sz="8" w:space="0" w:color="E26B0A"/>
            </w:tcBorders>
            <w:shd w:val="clear" w:color="000000" w:fill="FABF8F"/>
            <w:hideMark/>
          </w:tcPr>
          <w:p w14:paraId="1DD6C468" w14:textId="77777777" w:rsidR="00523AD2" w:rsidRPr="00523AD2" w:rsidRDefault="00523AD2" w:rsidP="00523AD2">
            <w:pPr>
              <w:jc w:val="center"/>
              <w:rPr>
                <w:rFonts w:eastAsia="Times New Roman" w:cs="Calibri"/>
                <w:b/>
                <w:bCs/>
                <w:sz w:val="20"/>
                <w:szCs w:val="20"/>
                <w:lang w:val="en-US"/>
              </w:rPr>
            </w:pPr>
            <w:r w:rsidRPr="00523AD2">
              <w:rPr>
                <w:rFonts w:eastAsia="Times New Roman" w:cs="Calibri"/>
                <w:b/>
                <w:bCs/>
                <w:sz w:val="20"/>
                <w:szCs w:val="20"/>
                <w:lang w:val="en-US"/>
              </w:rPr>
              <w:t>Изменение %</w:t>
            </w:r>
          </w:p>
        </w:tc>
      </w:tr>
      <w:tr w:rsidR="00523AD2" w:rsidRPr="00523AD2" w14:paraId="238E25AA" w14:textId="77777777" w:rsidTr="009A475F">
        <w:trPr>
          <w:trHeight w:val="288"/>
        </w:trPr>
        <w:tc>
          <w:tcPr>
            <w:tcW w:w="5093" w:type="dxa"/>
            <w:tcBorders>
              <w:top w:val="nil"/>
              <w:left w:val="single" w:sz="8" w:space="0" w:color="E26B0A"/>
              <w:bottom w:val="single" w:sz="8" w:space="0" w:color="E26B0A"/>
              <w:right w:val="single" w:sz="8" w:space="0" w:color="E26B0A"/>
            </w:tcBorders>
            <w:shd w:val="clear" w:color="000000" w:fill="FDE9D9"/>
            <w:hideMark/>
          </w:tcPr>
          <w:p w14:paraId="61056D72" w14:textId="77777777" w:rsidR="00523AD2" w:rsidRPr="00523AD2" w:rsidRDefault="00523AD2" w:rsidP="00523AD2">
            <w:pPr>
              <w:jc w:val="both"/>
              <w:rPr>
                <w:rFonts w:eastAsia="Times New Roman" w:cs="Calibri"/>
                <w:b/>
                <w:bCs/>
                <w:sz w:val="20"/>
                <w:szCs w:val="20"/>
                <w:lang w:val="en-US"/>
              </w:rPr>
            </w:pPr>
            <w:r w:rsidRPr="00523AD2">
              <w:rPr>
                <w:rFonts w:eastAsia="Times New Roman" w:cs="Calibri"/>
                <w:b/>
                <w:bCs/>
                <w:sz w:val="20"/>
                <w:szCs w:val="20"/>
                <w:lang w:val="en-US"/>
              </w:rPr>
              <w:t>Материали</w:t>
            </w:r>
          </w:p>
        </w:tc>
        <w:tc>
          <w:tcPr>
            <w:tcW w:w="1134" w:type="dxa"/>
            <w:tcBorders>
              <w:top w:val="nil"/>
              <w:left w:val="nil"/>
              <w:bottom w:val="single" w:sz="8" w:space="0" w:color="E26B0A"/>
              <w:right w:val="single" w:sz="8" w:space="0" w:color="E26B0A"/>
            </w:tcBorders>
            <w:shd w:val="clear" w:color="000000" w:fill="FDE9D9"/>
            <w:hideMark/>
          </w:tcPr>
          <w:p w14:paraId="2844A327" w14:textId="77777777" w:rsidR="00523AD2" w:rsidRPr="00523AD2" w:rsidRDefault="00523AD2" w:rsidP="00523AD2">
            <w:pPr>
              <w:jc w:val="both"/>
              <w:rPr>
                <w:rFonts w:eastAsia="Times New Roman" w:cs="Calibri"/>
                <w:sz w:val="20"/>
                <w:szCs w:val="20"/>
                <w:lang w:val="en-US"/>
              </w:rPr>
            </w:pPr>
            <w:r w:rsidRPr="00523AD2">
              <w:rPr>
                <w:rFonts w:eastAsia="Times New Roman" w:cs="Calibri"/>
                <w:sz w:val="20"/>
                <w:szCs w:val="20"/>
                <w:lang w:val="en-US"/>
              </w:rPr>
              <w:t> </w:t>
            </w:r>
          </w:p>
        </w:tc>
        <w:tc>
          <w:tcPr>
            <w:tcW w:w="1134" w:type="dxa"/>
            <w:tcBorders>
              <w:top w:val="nil"/>
              <w:left w:val="nil"/>
              <w:bottom w:val="single" w:sz="8" w:space="0" w:color="E26B0A"/>
              <w:right w:val="single" w:sz="8" w:space="0" w:color="E26B0A"/>
            </w:tcBorders>
            <w:shd w:val="clear" w:color="000000" w:fill="FDE9D9"/>
            <w:hideMark/>
          </w:tcPr>
          <w:p w14:paraId="6C33E8DB" w14:textId="77777777" w:rsidR="00523AD2" w:rsidRPr="00523AD2" w:rsidRDefault="00523AD2" w:rsidP="00523AD2">
            <w:pPr>
              <w:jc w:val="both"/>
              <w:rPr>
                <w:rFonts w:eastAsia="Times New Roman" w:cs="Calibri"/>
                <w:sz w:val="20"/>
                <w:szCs w:val="20"/>
                <w:lang w:val="en-US"/>
              </w:rPr>
            </w:pPr>
            <w:r w:rsidRPr="00523AD2">
              <w:rPr>
                <w:rFonts w:eastAsia="Times New Roman" w:cs="Calibri"/>
                <w:sz w:val="20"/>
                <w:szCs w:val="20"/>
                <w:lang w:val="en-US"/>
              </w:rPr>
              <w:t> </w:t>
            </w:r>
          </w:p>
        </w:tc>
        <w:tc>
          <w:tcPr>
            <w:tcW w:w="1701" w:type="dxa"/>
            <w:tcBorders>
              <w:top w:val="nil"/>
              <w:left w:val="nil"/>
              <w:bottom w:val="single" w:sz="8" w:space="0" w:color="E26B0A"/>
              <w:right w:val="single" w:sz="8" w:space="0" w:color="E26B0A"/>
            </w:tcBorders>
            <w:shd w:val="clear" w:color="000000" w:fill="FDE9D9"/>
            <w:hideMark/>
          </w:tcPr>
          <w:p w14:paraId="1E7903A9" w14:textId="77777777" w:rsidR="00523AD2" w:rsidRPr="00523AD2" w:rsidRDefault="00523AD2" w:rsidP="00523AD2">
            <w:pPr>
              <w:jc w:val="center"/>
              <w:rPr>
                <w:rFonts w:eastAsia="Times New Roman" w:cs="Calibri"/>
                <w:sz w:val="20"/>
                <w:szCs w:val="20"/>
                <w:lang w:val="en-US"/>
              </w:rPr>
            </w:pPr>
            <w:r w:rsidRPr="00523AD2">
              <w:rPr>
                <w:rFonts w:eastAsia="Times New Roman" w:cs="Calibri"/>
                <w:sz w:val="20"/>
                <w:szCs w:val="20"/>
                <w:lang w:val="en-US"/>
              </w:rPr>
              <w:t> </w:t>
            </w:r>
          </w:p>
        </w:tc>
      </w:tr>
      <w:tr w:rsidR="00523AD2" w:rsidRPr="00523AD2" w14:paraId="7BFA8ECC" w14:textId="77777777" w:rsidTr="009A475F">
        <w:trPr>
          <w:trHeight w:val="288"/>
        </w:trPr>
        <w:tc>
          <w:tcPr>
            <w:tcW w:w="5093" w:type="dxa"/>
            <w:tcBorders>
              <w:top w:val="nil"/>
              <w:left w:val="single" w:sz="8" w:space="0" w:color="E26B0A"/>
              <w:bottom w:val="single" w:sz="8" w:space="0" w:color="E26B0A"/>
              <w:right w:val="single" w:sz="8" w:space="0" w:color="E26B0A"/>
            </w:tcBorders>
            <w:shd w:val="clear" w:color="000000" w:fill="FDE9D9"/>
            <w:noWrap/>
            <w:vAlign w:val="bottom"/>
            <w:hideMark/>
          </w:tcPr>
          <w:p w14:paraId="1F47B83C" w14:textId="77777777" w:rsidR="00523AD2" w:rsidRPr="00523AD2" w:rsidRDefault="00523AD2" w:rsidP="00523AD2">
            <w:pPr>
              <w:rPr>
                <w:rFonts w:eastAsia="Times New Roman" w:cs="Calibri"/>
                <w:color w:val="000000"/>
                <w:sz w:val="20"/>
                <w:szCs w:val="20"/>
                <w:lang w:val="en-US"/>
              </w:rPr>
            </w:pPr>
            <w:r w:rsidRPr="00523AD2">
              <w:rPr>
                <w:rFonts w:eastAsia="Times New Roman" w:cs="Calibri"/>
                <w:color w:val="000000"/>
                <w:sz w:val="20"/>
                <w:szCs w:val="20"/>
                <w:lang w:val="en-US"/>
              </w:rPr>
              <w:t>Хроно ООД</w:t>
            </w:r>
          </w:p>
        </w:tc>
        <w:tc>
          <w:tcPr>
            <w:tcW w:w="1134" w:type="dxa"/>
            <w:tcBorders>
              <w:top w:val="nil"/>
              <w:left w:val="nil"/>
              <w:bottom w:val="single" w:sz="8" w:space="0" w:color="E26B0A"/>
              <w:right w:val="single" w:sz="8" w:space="0" w:color="E26B0A"/>
            </w:tcBorders>
            <w:shd w:val="clear" w:color="000000" w:fill="FDE9D9"/>
            <w:noWrap/>
            <w:vAlign w:val="bottom"/>
            <w:hideMark/>
          </w:tcPr>
          <w:p w14:paraId="1D73A898" w14:textId="77777777" w:rsidR="00523AD2" w:rsidRPr="00523AD2" w:rsidRDefault="00523AD2" w:rsidP="00523AD2">
            <w:pPr>
              <w:jc w:val="right"/>
              <w:rPr>
                <w:rFonts w:eastAsia="Times New Roman" w:cs="Calibri"/>
                <w:sz w:val="20"/>
                <w:szCs w:val="20"/>
                <w:lang w:val="en-US"/>
              </w:rPr>
            </w:pPr>
            <w:r w:rsidRPr="00523AD2">
              <w:rPr>
                <w:rFonts w:eastAsia="Times New Roman" w:cs="Calibri"/>
                <w:sz w:val="20"/>
                <w:szCs w:val="20"/>
                <w:lang w:val="en-US"/>
              </w:rPr>
              <w:t>14,600</w:t>
            </w:r>
          </w:p>
        </w:tc>
        <w:tc>
          <w:tcPr>
            <w:tcW w:w="1134" w:type="dxa"/>
            <w:tcBorders>
              <w:top w:val="nil"/>
              <w:left w:val="nil"/>
              <w:bottom w:val="single" w:sz="8" w:space="0" w:color="E26B0A"/>
              <w:right w:val="single" w:sz="8" w:space="0" w:color="E26B0A"/>
            </w:tcBorders>
            <w:shd w:val="clear" w:color="000000" w:fill="FDE9D9"/>
            <w:noWrap/>
            <w:vAlign w:val="bottom"/>
            <w:hideMark/>
          </w:tcPr>
          <w:p w14:paraId="79179E0A" w14:textId="77777777" w:rsidR="00523AD2" w:rsidRPr="00523AD2" w:rsidRDefault="00523AD2" w:rsidP="00523AD2">
            <w:pPr>
              <w:jc w:val="right"/>
              <w:rPr>
                <w:rFonts w:eastAsia="Times New Roman" w:cs="Calibri"/>
                <w:sz w:val="20"/>
                <w:szCs w:val="20"/>
                <w:lang w:val="en-US"/>
              </w:rPr>
            </w:pPr>
            <w:r w:rsidRPr="00523AD2">
              <w:rPr>
                <w:rFonts w:eastAsia="Times New Roman" w:cs="Calibri"/>
                <w:sz w:val="20"/>
                <w:szCs w:val="20"/>
                <w:lang w:val="en-US"/>
              </w:rPr>
              <w:t>10,339</w:t>
            </w:r>
          </w:p>
        </w:tc>
        <w:tc>
          <w:tcPr>
            <w:tcW w:w="1701" w:type="dxa"/>
            <w:tcBorders>
              <w:top w:val="nil"/>
              <w:left w:val="nil"/>
              <w:bottom w:val="single" w:sz="8" w:space="0" w:color="E26B0A"/>
              <w:right w:val="single" w:sz="8" w:space="0" w:color="E26B0A"/>
            </w:tcBorders>
            <w:shd w:val="clear" w:color="000000" w:fill="FDE9D9"/>
            <w:hideMark/>
          </w:tcPr>
          <w:p w14:paraId="1A16E922" w14:textId="77777777" w:rsidR="00523AD2" w:rsidRPr="00523AD2" w:rsidRDefault="00523AD2" w:rsidP="00523AD2">
            <w:pPr>
              <w:jc w:val="center"/>
              <w:rPr>
                <w:rFonts w:eastAsia="Times New Roman" w:cs="Calibri"/>
                <w:sz w:val="20"/>
                <w:szCs w:val="20"/>
                <w:lang w:val="en-US"/>
              </w:rPr>
            </w:pPr>
            <w:r w:rsidRPr="00523AD2">
              <w:rPr>
                <w:rFonts w:eastAsia="Times New Roman" w:cs="Calibri"/>
                <w:sz w:val="20"/>
                <w:szCs w:val="20"/>
                <w:lang w:val="en-US"/>
              </w:rPr>
              <w:t>41,21%</w:t>
            </w:r>
          </w:p>
        </w:tc>
      </w:tr>
      <w:tr w:rsidR="00523AD2" w:rsidRPr="00523AD2" w14:paraId="398B4441" w14:textId="77777777" w:rsidTr="009A475F">
        <w:trPr>
          <w:trHeight w:val="288"/>
        </w:trPr>
        <w:tc>
          <w:tcPr>
            <w:tcW w:w="5093" w:type="dxa"/>
            <w:tcBorders>
              <w:top w:val="nil"/>
              <w:left w:val="single" w:sz="8" w:space="0" w:color="E26B0A"/>
              <w:bottom w:val="single" w:sz="8" w:space="0" w:color="E26B0A"/>
              <w:right w:val="single" w:sz="8" w:space="0" w:color="E26B0A"/>
            </w:tcBorders>
            <w:shd w:val="clear" w:color="000000" w:fill="FDE9D9"/>
            <w:noWrap/>
            <w:vAlign w:val="bottom"/>
            <w:hideMark/>
          </w:tcPr>
          <w:p w14:paraId="564512F5" w14:textId="77777777" w:rsidR="00523AD2" w:rsidRPr="00523AD2" w:rsidRDefault="00523AD2" w:rsidP="00523AD2">
            <w:pPr>
              <w:rPr>
                <w:rFonts w:eastAsia="Times New Roman" w:cs="Calibri"/>
                <w:color w:val="000000"/>
                <w:sz w:val="20"/>
                <w:szCs w:val="20"/>
                <w:lang w:val="en-US"/>
              </w:rPr>
            </w:pPr>
            <w:r w:rsidRPr="00523AD2">
              <w:rPr>
                <w:rFonts w:eastAsia="Times New Roman" w:cs="Calibri"/>
                <w:color w:val="000000"/>
                <w:sz w:val="20"/>
                <w:szCs w:val="20"/>
                <w:lang w:val="en-US"/>
              </w:rPr>
              <w:t>Мост Енерджи АД</w:t>
            </w:r>
          </w:p>
        </w:tc>
        <w:tc>
          <w:tcPr>
            <w:tcW w:w="1134" w:type="dxa"/>
            <w:tcBorders>
              <w:top w:val="nil"/>
              <w:left w:val="nil"/>
              <w:bottom w:val="single" w:sz="8" w:space="0" w:color="E26B0A"/>
              <w:right w:val="single" w:sz="8" w:space="0" w:color="E26B0A"/>
            </w:tcBorders>
            <w:shd w:val="clear" w:color="000000" w:fill="FDE9D9"/>
            <w:noWrap/>
            <w:vAlign w:val="bottom"/>
            <w:hideMark/>
          </w:tcPr>
          <w:p w14:paraId="32F51BBE" w14:textId="77777777" w:rsidR="00523AD2" w:rsidRPr="00523AD2" w:rsidRDefault="00523AD2" w:rsidP="00523AD2">
            <w:pPr>
              <w:jc w:val="right"/>
              <w:rPr>
                <w:rFonts w:eastAsia="Times New Roman" w:cs="Calibri"/>
                <w:sz w:val="20"/>
                <w:szCs w:val="20"/>
                <w:lang w:val="en-US"/>
              </w:rPr>
            </w:pPr>
            <w:r w:rsidRPr="00523AD2">
              <w:rPr>
                <w:rFonts w:eastAsia="Times New Roman" w:cs="Calibri"/>
                <w:sz w:val="20"/>
                <w:szCs w:val="20"/>
                <w:lang w:val="en-US"/>
              </w:rPr>
              <w:t>19,630</w:t>
            </w:r>
          </w:p>
        </w:tc>
        <w:tc>
          <w:tcPr>
            <w:tcW w:w="1134" w:type="dxa"/>
            <w:tcBorders>
              <w:top w:val="nil"/>
              <w:left w:val="nil"/>
              <w:bottom w:val="single" w:sz="8" w:space="0" w:color="E26B0A"/>
              <w:right w:val="single" w:sz="8" w:space="0" w:color="E26B0A"/>
            </w:tcBorders>
            <w:shd w:val="clear" w:color="000000" w:fill="FDE9D9"/>
            <w:noWrap/>
            <w:vAlign w:val="bottom"/>
            <w:hideMark/>
          </w:tcPr>
          <w:p w14:paraId="00362098" w14:textId="77777777" w:rsidR="00523AD2" w:rsidRPr="00523AD2" w:rsidRDefault="00523AD2" w:rsidP="00523AD2">
            <w:pPr>
              <w:jc w:val="right"/>
              <w:rPr>
                <w:rFonts w:eastAsia="Times New Roman" w:cs="Calibri"/>
                <w:sz w:val="20"/>
                <w:szCs w:val="20"/>
                <w:lang w:val="en-US"/>
              </w:rPr>
            </w:pPr>
            <w:r w:rsidRPr="00523AD2">
              <w:rPr>
                <w:rFonts w:eastAsia="Times New Roman" w:cs="Calibri"/>
                <w:sz w:val="20"/>
                <w:szCs w:val="20"/>
                <w:lang w:val="en-US"/>
              </w:rPr>
              <w:t>10,910</w:t>
            </w:r>
          </w:p>
        </w:tc>
        <w:tc>
          <w:tcPr>
            <w:tcW w:w="1701" w:type="dxa"/>
            <w:tcBorders>
              <w:top w:val="nil"/>
              <w:left w:val="nil"/>
              <w:bottom w:val="single" w:sz="8" w:space="0" w:color="E26B0A"/>
              <w:right w:val="single" w:sz="8" w:space="0" w:color="E26B0A"/>
            </w:tcBorders>
            <w:shd w:val="clear" w:color="000000" w:fill="FDE9D9"/>
            <w:hideMark/>
          </w:tcPr>
          <w:p w14:paraId="378D0F28" w14:textId="77777777" w:rsidR="00523AD2" w:rsidRPr="00523AD2" w:rsidRDefault="00523AD2" w:rsidP="00523AD2">
            <w:pPr>
              <w:jc w:val="center"/>
              <w:rPr>
                <w:rFonts w:eastAsia="Times New Roman" w:cs="Calibri"/>
                <w:sz w:val="20"/>
                <w:szCs w:val="20"/>
                <w:lang w:val="en-US"/>
              </w:rPr>
            </w:pPr>
            <w:r w:rsidRPr="00523AD2">
              <w:rPr>
                <w:rFonts w:eastAsia="Times New Roman" w:cs="Calibri"/>
                <w:sz w:val="20"/>
                <w:szCs w:val="20"/>
                <w:lang w:val="en-US"/>
              </w:rPr>
              <w:t>79,93%</w:t>
            </w:r>
          </w:p>
        </w:tc>
      </w:tr>
      <w:tr w:rsidR="00523AD2" w:rsidRPr="00523AD2" w14:paraId="62EB32B0" w14:textId="77777777" w:rsidTr="009A475F">
        <w:trPr>
          <w:trHeight w:val="288"/>
        </w:trPr>
        <w:tc>
          <w:tcPr>
            <w:tcW w:w="5093" w:type="dxa"/>
            <w:tcBorders>
              <w:top w:val="nil"/>
              <w:left w:val="single" w:sz="8" w:space="0" w:color="E26B0A"/>
              <w:bottom w:val="single" w:sz="8" w:space="0" w:color="E26B0A"/>
              <w:right w:val="single" w:sz="8" w:space="0" w:color="E26B0A"/>
            </w:tcBorders>
            <w:shd w:val="clear" w:color="000000" w:fill="FDE9D9"/>
            <w:noWrap/>
            <w:vAlign w:val="bottom"/>
            <w:hideMark/>
          </w:tcPr>
          <w:p w14:paraId="2EC647DB" w14:textId="77777777" w:rsidR="00523AD2" w:rsidRPr="00523AD2" w:rsidRDefault="00523AD2" w:rsidP="00523AD2">
            <w:pPr>
              <w:rPr>
                <w:rFonts w:eastAsia="Times New Roman" w:cs="Calibri"/>
                <w:color w:val="000000"/>
                <w:sz w:val="20"/>
                <w:szCs w:val="20"/>
                <w:lang w:val="en-US"/>
              </w:rPr>
            </w:pPr>
            <w:r w:rsidRPr="00523AD2">
              <w:rPr>
                <w:rFonts w:eastAsia="Times New Roman" w:cs="Calibri"/>
                <w:color w:val="000000"/>
                <w:sz w:val="20"/>
                <w:szCs w:val="20"/>
                <w:lang w:val="en-US"/>
              </w:rPr>
              <w:t>Мипо транс ООД/Тодем ООД</w:t>
            </w:r>
          </w:p>
        </w:tc>
        <w:tc>
          <w:tcPr>
            <w:tcW w:w="1134" w:type="dxa"/>
            <w:tcBorders>
              <w:top w:val="nil"/>
              <w:left w:val="nil"/>
              <w:bottom w:val="single" w:sz="8" w:space="0" w:color="E26B0A"/>
              <w:right w:val="single" w:sz="8" w:space="0" w:color="E26B0A"/>
            </w:tcBorders>
            <w:shd w:val="clear" w:color="auto" w:fill="auto"/>
            <w:noWrap/>
            <w:vAlign w:val="bottom"/>
            <w:hideMark/>
          </w:tcPr>
          <w:p w14:paraId="07BF7906" w14:textId="77777777" w:rsidR="00523AD2" w:rsidRPr="00523AD2" w:rsidRDefault="00523AD2" w:rsidP="00523AD2">
            <w:pPr>
              <w:jc w:val="right"/>
              <w:rPr>
                <w:rFonts w:eastAsia="Times New Roman" w:cs="Calibri"/>
                <w:sz w:val="20"/>
                <w:szCs w:val="20"/>
                <w:lang w:val="en-US"/>
              </w:rPr>
            </w:pPr>
            <w:r w:rsidRPr="00523AD2">
              <w:rPr>
                <w:rFonts w:eastAsia="Times New Roman" w:cs="Calibri"/>
                <w:sz w:val="20"/>
                <w:szCs w:val="20"/>
                <w:lang w:val="en-US"/>
              </w:rPr>
              <w:t>3,950</w:t>
            </w:r>
          </w:p>
        </w:tc>
        <w:tc>
          <w:tcPr>
            <w:tcW w:w="1134" w:type="dxa"/>
            <w:tcBorders>
              <w:top w:val="nil"/>
              <w:left w:val="nil"/>
              <w:bottom w:val="single" w:sz="8" w:space="0" w:color="E26B0A"/>
              <w:right w:val="single" w:sz="8" w:space="0" w:color="E26B0A"/>
            </w:tcBorders>
            <w:shd w:val="clear" w:color="auto" w:fill="auto"/>
            <w:noWrap/>
            <w:vAlign w:val="bottom"/>
            <w:hideMark/>
          </w:tcPr>
          <w:p w14:paraId="57929433" w14:textId="77777777" w:rsidR="00523AD2" w:rsidRPr="00523AD2" w:rsidRDefault="00523AD2" w:rsidP="00523AD2">
            <w:pPr>
              <w:jc w:val="right"/>
              <w:rPr>
                <w:rFonts w:eastAsia="Times New Roman" w:cs="Calibri"/>
                <w:sz w:val="20"/>
                <w:szCs w:val="20"/>
                <w:lang w:val="en-US"/>
              </w:rPr>
            </w:pPr>
            <w:r w:rsidRPr="00523AD2">
              <w:rPr>
                <w:rFonts w:eastAsia="Times New Roman" w:cs="Calibri"/>
                <w:sz w:val="20"/>
                <w:szCs w:val="20"/>
                <w:lang w:val="en-US"/>
              </w:rPr>
              <w:t>3,424</w:t>
            </w:r>
          </w:p>
        </w:tc>
        <w:tc>
          <w:tcPr>
            <w:tcW w:w="1701" w:type="dxa"/>
            <w:tcBorders>
              <w:top w:val="nil"/>
              <w:left w:val="nil"/>
              <w:bottom w:val="single" w:sz="8" w:space="0" w:color="E26B0A"/>
              <w:right w:val="single" w:sz="8" w:space="0" w:color="E26B0A"/>
            </w:tcBorders>
            <w:shd w:val="clear" w:color="000000" w:fill="FDE9D9"/>
            <w:hideMark/>
          </w:tcPr>
          <w:p w14:paraId="2D4C4B22" w14:textId="77777777" w:rsidR="00523AD2" w:rsidRPr="00523AD2" w:rsidRDefault="00523AD2" w:rsidP="00523AD2">
            <w:pPr>
              <w:jc w:val="center"/>
              <w:rPr>
                <w:rFonts w:eastAsia="Times New Roman" w:cs="Calibri"/>
                <w:sz w:val="20"/>
                <w:szCs w:val="20"/>
                <w:lang w:val="en-US"/>
              </w:rPr>
            </w:pPr>
            <w:r w:rsidRPr="00523AD2">
              <w:rPr>
                <w:rFonts w:eastAsia="Times New Roman" w:cs="Calibri"/>
                <w:sz w:val="20"/>
                <w:szCs w:val="20"/>
                <w:lang w:val="en-US"/>
              </w:rPr>
              <w:t>15,36%</w:t>
            </w:r>
          </w:p>
        </w:tc>
      </w:tr>
      <w:tr w:rsidR="00523AD2" w:rsidRPr="00523AD2" w14:paraId="1FCA1F64" w14:textId="77777777" w:rsidTr="009A475F">
        <w:trPr>
          <w:trHeight w:val="288"/>
        </w:trPr>
        <w:tc>
          <w:tcPr>
            <w:tcW w:w="5093" w:type="dxa"/>
            <w:tcBorders>
              <w:top w:val="nil"/>
              <w:left w:val="single" w:sz="8" w:space="0" w:color="E26B0A"/>
              <w:bottom w:val="single" w:sz="8" w:space="0" w:color="E26B0A"/>
              <w:right w:val="single" w:sz="8" w:space="0" w:color="E26B0A"/>
            </w:tcBorders>
            <w:shd w:val="clear" w:color="000000" w:fill="FDE9D9"/>
            <w:noWrap/>
            <w:vAlign w:val="bottom"/>
            <w:hideMark/>
          </w:tcPr>
          <w:p w14:paraId="740473E2" w14:textId="77777777" w:rsidR="00523AD2" w:rsidRPr="00523AD2" w:rsidRDefault="00523AD2" w:rsidP="00523AD2">
            <w:pPr>
              <w:rPr>
                <w:rFonts w:eastAsia="Times New Roman" w:cs="Calibri"/>
                <w:color w:val="000000"/>
                <w:sz w:val="20"/>
                <w:szCs w:val="20"/>
                <w:lang w:val="en-US"/>
              </w:rPr>
            </w:pPr>
            <w:r w:rsidRPr="00523AD2">
              <w:rPr>
                <w:rFonts w:eastAsia="Times New Roman" w:cs="Calibri"/>
                <w:color w:val="000000"/>
                <w:sz w:val="20"/>
                <w:szCs w:val="20"/>
                <w:lang w:val="en-US"/>
              </w:rPr>
              <w:t>Електроразпределение север АД</w:t>
            </w:r>
          </w:p>
        </w:tc>
        <w:tc>
          <w:tcPr>
            <w:tcW w:w="1134" w:type="dxa"/>
            <w:tcBorders>
              <w:top w:val="nil"/>
              <w:left w:val="nil"/>
              <w:bottom w:val="single" w:sz="8" w:space="0" w:color="E26B0A"/>
              <w:right w:val="single" w:sz="8" w:space="0" w:color="E26B0A"/>
            </w:tcBorders>
            <w:shd w:val="clear" w:color="000000" w:fill="FDE9D9"/>
            <w:noWrap/>
            <w:vAlign w:val="bottom"/>
            <w:hideMark/>
          </w:tcPr>
          <w:p w14:paraId="69DE9F28" w14:textId="77777777" w:rsidR="00523AD2" w:rsidRPr="00523AD2" w:rsidRDefault="00523AD2" w:rsidP="00523AD2">
            <w:pPr>
              <w:jc w:val="right"/>
              <w:rPr>
                <w:rFonts w:eastAsia="Times New Roman" w:cs="Calibri"/>
                <w:sz w:val="20"/>
                <w:szCs w:val="20"/>
                <w:lang w:val="en-US"/>
              </w:rPr>
            </w:pPr>
            <w:r w:rsidRPr="00523AD2">
              <w:rPr>
                <w:rFonts w:eastAsia="Times New Roman" w:cs="Calibri"/>
                <w:sz w:val="20"/>
                <w:szCs w:val="20"/>
                <w:lang w:val="en-US"/>
              </w:rPr>
              <w:t>3,848</w:t>
            </w:r>
          </w:p>
        </w:tc>
        <w:tc>
          <w:tcPr>
            <w:tcW w:w="1134" w:type="dxa"/>
            <w:tcBorders>
              <w:top w:val="nil"/>
              <w:left w:val="nil"/>
              <w:bottom w:val="single" w:sz="8" w:space="0" w:color="E26B0A"/>
              <w:right w:val="single" w:sz="8" w:space="0" w:color="E26B0A"/>
            </w:tcBorders>
            <w:shd w:val="clear" w:color="000000" w:fill="FDE9D9"/>
            <w:noWrap/>
            <w:vAlign w:val="bottom"/>
            <w:hideMark/>
          </w:tcPr>
          <w:p w14:paraId="1C8CBDB1" w14:textId="77777777" w:rsidR="00523AD2" w:rsidRPr="00523AD2" w:rsidRDefault="00523AD2" w:rsidP="00523AD2">
            <w:pPr>
              <w:jc w:val="right"/>
              <w:rPr>
                <w:rFonts w:eastAsia="Times New Roman" w:cs="Calibri"/>
                <w:sz w:val="20"/>
                <w:szCs w:val="20"/>
                <w:lang w:val="en-US"/>
              </w:rPr>
            </w:pPr>
            <w:r w:rsidRPr="00523AD2">
              <w:rPr>
                <w:rFonts w:eastAsia="Times New Roman" w:cs="Calibri"/>
                <w:sz w:val="20"/>
                <w:szCs w:val="20"/>
                <w:lang w:val="en-US"/>
              </w:rPr>
              <w:t>4,201</w:t>
            </w:r>
          </w:p>
        </w:tc>
        <w:tc>
          <w:tcPr>
            <w:tcW w:w="1701" w:type="dxa"/>
            <w:tcBorders>
              <w:top w:val="nil"/>
              <w:left w:val="nil"/>
              <w:bottom w:val="single" w:sz="8" w:space="0" w:color="E26B0A"/>
              <w:right w:val="single" w:sz="8" w:space="0" w:color="E26B0A"/>
            </w:tcBorders>
            <w:shd w:val="clear" w:color="000000" w:fill="FDE9D9"/>
            <w:hideMark/>
          </w:tcPr>
          <w:p w14:paraId="5E55E1F3" w14:textId="77777777" w:rsidR="00523AD2" w:rsidRPr="00523AD2" w:rsidRDefault="00523AD2" w:rsidP="00523AD2">
            <w:pPr>
              <w:jc w:val="center"/>
              <w:rPr>
                <w:rFonts w:eastAsia="Times New Roman" w:cs="Calibri"/>
                <w:sz w:val="20"/>
                <w:szCs w:val="20"/>
                <w:lang w:val="en-US"/>
              </w:rPr>
            </w:pPr>
            <w:r w:rsidRPr="00523AD2">
              <w:rPr>
                <w:rFonts w:eastAsia="Times New Roman" w:cs="Calibri"/>
                <w:sz w:val="20"/>
                <w:szCs w:val="20"/>
                <w:lang w:val="en-US"/>
              </w:rPr>
              <w:t>-8,40%</w:t>
            </w:r>
          </w:p>
        </w:tc>
      </w:tr>
      <w:tr w:rsidR="00523AD2" w:rsidRPr="00523AD2" w14:paraId="45F69BFB" w14:textId="77777777" w:rsidTr="009A475F">
        <w:trPr>
          <w:trHeight w:val="288"/>
        </w:trPr>
        <w:tc>
          <w:tcPr>
            <w:tcW w:w="5093" w:type="dxa"/>
            <w:tcBorders>
              <w:top w:val="nil"/>
              <w:left w:val="single" w:sz="8" w:space="0" w:color="E26B0A"/>
              <w:bottom w:val="single" w:sz="8" w:space="0" w:color="E26B0A"/>
              <w:right w:val="single" w:sz="8" w:space="0" w:color="E26B0A"/>
            </w:tcBorders>
            <w:shd w:val="clear" w:color="000000" w:fill="FDE9D9"/>
            <w:noWrap/>
            <w:vAlign w:val="bottom"/>
            <w:hideMark/>
          </w:tcPr>
          <w:p w14:paraId="2822F953" w14:textId="77777777" w:rsidR="00523AD2" w:rsidRPr="00523AD2" w:rsidRDefault="00523AD2" w:rsidP="00523AD2">
            <w:pPr>
              <w:rPr>
                <w:rFonts w:eastAsia="Times New Roman" w:cs="Calibri"/>
                <w:color w:val="000000"/>
                <w:sz w:val="20"/>
                <w:szCs w:val="20"/>
                <w:lang w:val="en-US"/>
              </w:rPr>
            </w:pPr>
            <w:r w:rsidRPr="00523AD2">
              <w:rPr>
                <w:rFonts w:eastAsia="Times New Roman" w:cs="Calibri"/>
                <w:color w:val="000000"/>
                <w:sz w:val="20"/>
                <w:szCs w:val="20"/>
                <w:lang w:val="en-US"/>
              </w:rPr>
              <w:t>Билмед ЕООД</w:t>
            </w:r>
          </w:p>
        </w:tc>
        <w:tc>
          <w:tcPr>
            <w:tcW w:w="1134" w:type="dxa"/>
            <w:tcBorders>
              <w:top w:val="nil"/>
              <w:left w:val="nil"/>
              <w:bottom w:val="single" w:sz="8" w:space="0" w:color="E26B0A"/>
              <w:right w:val="single" w:sz="8" w:space="0" w:color="E26B0A"/>
            </w:tcBorders>
            <w:shd w:val="clear" w:color="000000" w:fill="F2F2F2"/>
            <w:noWrap/>
            <w:vAlign w:val="bottom"/>
            <w:hideMark/>
          </w:tcPr>
          <w:p w14:paraId="60C3AF41" w14:textId="77777777" w:rsidR="00523AD2" w:rsidRPr="00523AD2" w:rsidRDefault="00523AD2" w:rsidP="00523AD2">
            <w:pPr>
              <w:jc w:val="right"/>
              <w:rPr>
                <w:rFonts w:eastAsia="Times New Roman" w:cs="Calibri"/>
                <w:sz w:val="20"/>
                <w:szCs w:val="20"/>
                <w:lang w:val="en-US"/>
              </w:rPr>
            </w:pPr>
            <w:r w:rsidRPr="00523AD2">
              <w:rPr>
                <w:rFonts w:eastAsia="Times New Roman" w:cs="Calibri"/>
                <w:sz w:val="20"/>
                <w:szCs w:val="20"/>
                <w:lang w:val="en-US"/>
              </w:rPr>
              <w:t>2,142</w:t>
            </w:r>
          </w:p>
        </w:tc>
        <w:tc>
          <w:tcPr>
            <w:tcW w:w="1134" w:type="dxa"/>
            <w:tcBorders>
              <w:top w:val="nil"/>
              <w:left w:val="nil"/>
              <w:bottom w:val="single" w:sz="8" w:space="0" w:color="E26B0A"/>
              <w:right w:val="single" w:sz="8" w:space="0" w:color="E26B0A"/>
            </w:tcBorders>
            <w:shd w:val="clear" w:color="000000" w:fill="F2F2F2"/>
            <w:noWrap/>
            <w:vAlign w:val="bottom"/>
            <w:hideMark/>
          </w:tcPr>
          <w:p w14:paraId="4E27431A" w14:textId="77777777" w:rsidR="00523AD2" w:rsidRPr="00523AD2" w:rsidRDefault="00523AD2" w:rsidP="00523AD2">
            <w:pPr>
              <w:jc w:val="right"/>
              <w:rPr>
                <w:rFonts w:eastAsia="Times New Roman" w:cs="Calibri"/>
                <w:sz w:val="20"/>
                <w:szCs w:val="20"/>
                <w:lang w:val="en-US"/>
              </w:rPr>
            </w:pPr>
            <w:r w:rsidRPr="00523AD2">
              <w:rPr>
                <w:rFonts w:eastAsia="Times New Roman" w:cs="Calibri"/>
                <w:sz w:val="20"/>
                <w:szCs w:val="20"/>
                <w:lang w:val="en-US"/>
              </w:rPr>
              <w:t>2,119</w:t>
            </w:r>
          </w:p>
        </w:tc>
        <w:tc>
          <w:tcPr>
            <w:tcW w:w="1701" w:type="dxa"/>
            <w:tcBorders>
              <w:top w:val="nil"/>
              <w:left w:val="nil"/>
              <w:bottom w:val="single" w:sz="8" w:space="0" w:color="E26B0A"/>
              <w:right w:val="single" w:sz="8" w:space="0" w:color="E26B0A"/>
            </w:tcBorders>
            <w:shd w:val="clear" w:color="000000" w:fill="FDE9D9"/>
            <w:hideMark/>
          </w:tcPr>
          <w:p w14:paraId="53462B43" w14:textId="77777777" w:rsidR="00523AD2" w:rsidRPr="00523AD2" w:rsidRDefault="00523AD2" w:rsidP="00523AD2">
            <w:pPr>
              <w:jc w:val="center"/>
              <w:rPr>
                <w:rFonts w:eastAsia="Times New Roman" w:cs="Calibri"/>
                <w:sz w:val="20"/>
                <w:szCs w:val="20"/>
                <w:lang w:val="en-US"/>
              </w:rPr>
            </w:pPr>
            <w:r w:rsidRPr="00523AD2">
              <w:rPr>
                <w:rFonts w:eastAsia="Times New Roman" w:cs="Calibri"/>
                <w:sz w:val="20"/>
                <w:szCs w:val="20"/>
                <w:lang w:val="en-US"/>
              </w:rPr>
              <w:t>1,09%</w:t>
            </w:r>
          </w:p>
        </w:tc>
      </w:tr>
      <w:tr w:rsidR="00523AD2" w:rsidRPr="00523AD2" w14:paraId="1E65B0A0" w14:textId="77777777" w:rsidTr="009A475F">
        <w:trPr>
          <w:trHeight w:val="288"/>
        </w:trPr>
        <w:tc>
          <w:tcPr>
            <w:tcW w:w="5093" w:type="dxa"/>
            <w:tcBorders>
              <w:top w:val="nil"/>
              <w:left w:val="single" w:sz="8" w:space="0" w:color="E26B0A"/>
              <w:bottom w:val="single" w:sz="8" w:space="0" w:color="E26B0A"/>
              <w:right w:val="single" w:sz="8" w:space="0" w:color="E26B0A"/>
            </w:tcBorders>
            <w:shd w:val="clear" w:color="000000" w:fill="FDE9D9"/>
            <w:noWrap/>
            <w:vAlign w:val="bottom"/>
            <w:hideMark/>
          </w:tcPr>
          <w:p w14:paraId="20CAC294" w14:textId="77777777" w:rsidR="00523AD2" w:rsidRPr="00523AD2" w:rsidRDefault="00523AD2" w:rsidP="00523AD2">
            <w:pPr>
              <w:rPr>
                <w:rFonts w:eastAsia="Times New Roman" w:cs="Calibri"/>
                <w:color w:val="000000"/>
                <w:sz w:val="20"/>
                <w:szCs w:val="20"/>
                <w:lang w:val="en-US"/>
              </w:rPr>
            </w:pPr>
            <w:r w:rsidRPr="00523AD2">
              <w:rPr>
                <w:rFonts w:eastAsia="Times New Roman" w:cs="Calibri"/>
                <w:color w:val="000000"/>
                <w:sz w:val="20"/>
                <w:szCs w:val="20"/>
                <w:lang w:val="en-US"/>
              </w:rPr>
              <w:t>БТК ЕАД</w:t>
            </w:r>
          </w:p>
        </w:tc>
        <w:tc>
          <w:tcPr>
            <w:tcW w:w="1134" w:type="dxa"/>
            <w:tcBorders>
              <w:top w:val="nil"/>
              <w:left w:val="nil"/>
              <w:bottom w:val="single" w:sz="8" w:space="0" w:color="E26B0A"/>
              <w:right w:val="single" w:sz="8" w:space="0" w:color="E26B0A"/>
            </w:tcBorders>
            <w:shd w:val="clear" w:color="000000" w:fill="FDE9D9"/>
            <w:noWrap/>
            <w:vAlign w:val="bottom"/>
            <w:hideMark/>
          </w:tcPr>
          <w:p w14:paraId="1D976BCE" w14:textId="77777777" w:rsidR="00523AD2" w:rsidRPr="00523AD2" w:rsidRDefault="00523AD2" w:rsidP="00523AD2">
            <w:pPr>
              <w:jc w:val="right"/>
              <w:rPr>
                <w:rFonts w:eastAsia="Times New Roman" w:cs="Calibri"/>
                <w:sz w:val="20"/>
                <w:szCs w:val="20"/>
                <w:lang w:val="en-US"/>
              </w:rPr>
            </w:pPr>
            <w:r w:rsidRPr="00523AD2">
              <w:rPr>
                <w:rFonts w:eastAsia="Times New Roman" w:cs="Calibri"/>
                <w:sz w:val="20"/>
                <w:szCs w:val="20"/>
                <w:lang w:val="en-US"/>
              </w:rPr>
              <w:t>2,750</w:t>
            </w:r>
          </w:p>
        </w:tc>
        <w:tc>
          <w:tcPr>
            <w:tcW w:w="1134" w:type="dxa"/>
            <w:tcBorders>
              <w:top w:val="nil"/>
              <w:left w:val="nil"/>
              <w:bottom w:val="single" w:sz="8" w:space="0" w:color="E26B0A"/>
              <w:right w:val="single" w:sz="8" w:space="0" w:color="E26B0A"/>
            </w:tcBorders>
            <w:shd w:val="clear" w:color="000000" w:fill="FDE9D9"/>
            <w:noWrap/>
            <w:vAlign w:val="bottom"/>
            <w:hideMark/>
          </w:tcPr>
          <w:p w14:paraId="550F6E9D" w14:textId="77777777" w:rsidR="00523AD2" w:rsidRPr="00523AD2" w:rsidRDefault="00523AD2" w:rsidP="00523AD2">
            <w:pPr>
              <w:jc w:val="right"/>
              <w:rPr>
                <w:rFonts w:eastAsia="Times New Roman" w:cs="Calibri"/>
                <w:sz w:val="20"/>
                <w:szCs w:val="20"/>
                <w:lang w:val="en-US"/>
              </w:rPr>
            </w:pPr>
            <w:r w:rsidRPr="00523AD2">
              <w:rPr>
                <w:rFonts w:eastAsia="Times New Roman" w:cs="Calibri"/>
                <w:sz w:val="20"/>
                <w:szCs w:val="20"/>
                <w:lang w:val="en-US"/>
              </w:rPr>
              <w:t>2,921</w:t>
            </w:r>
          </w:p>
        </w:tc>
        <w:tc>
          <w:tcPr>
            <w:tcW w:w="1701" w:type="dxa"/>
            <w:tcBorders>
              <w:top w:val="nil"/>
              <w:left w:val="nil"/>
              <w:bottom w:val="single" w:sz="8" w:space="0" w:color="E26B0A"/>
              <w:right w:val="single" w:sz="8" w:space="0" w:color="E26B0A"/>
            </w:tcBorders>
            <w:shd w:val="clear" w:color="000000" w:fill="FDE9D9"/>
            <w:hideMark/>
          </w:tcPr>
          <w:p w14:paraId="4C136064" w14:textId="77777777" w:rsidR="00523AD2" w:rsidRPr="00523AD2" w:rsidRDefault="00523AD2" w:rsidP="00523AD2">
            <w:pPr>
              <w:jc w:val="center"/>
              <w:rPr>
                <w:rFonts w:eastAsia="Times New Roman" w:cs="Calibri"/>
                <w:sz w:val="20"/>
                <w:szCs w:val="20"/>
                <w:lang w:val="en-US"/>
              </w:rPr>
            </w:pPr>
            <w:r w:rsidRPr="00523AD2">
              <w:rPr>
                <w:rFonts w:eastAsia="Times New Roman" w:cs="Calibri"/>
                <w:sz w:val="20"/>
                <w:szCs w:val="20"/>
                <w:lang w:val="en-US"/>
              </w:rPr>
              <w:t>-5,85%</w:t>
            </w:r>
          </w:p>
        </w:tc>
      </w:tr>
      <w:tr w:rsidR="00523AD2" w:rsidRPr="00523AD2" w14:paraId="01F7D7BE" w14:textId="77777777" w:rsidTr="009A475F">
        <w:trPr>
          <w:trHeight w:val="288"/>
        </w:trPr>
        <w:tc>
          <w:tcPr>
            <w:tcW w:w="5093" w:type="dxa"/>
            <w:tcBorders>
              <w:top w:val="nil"/>
              <w:left w:val="single" w:sz="8" w:space="0" w:color="E26B0A"/>
              <w:bottom w:val="single" w:sz="8" w:space="0" w:color="E26B0A"/>
              <w:right w:val="single" w:sz="8" w:space="0" w:color="E26B0A"/>
            </w:tcBorders>
            <w:shd w:val="clear" w:color="000000" w:fill="FDE9D9"/>
            <w:noWrap/>
            <w:vAlign w:val="bottom"/>
            <w:hideMark/>
          </w:tcPr>
          <w:p w14:paraId="3E35AADD" w14:textId="77777777" w:rsidR="00523AD2" w:rsidRPr="00523AD2" w:rsidRDefault="00523AD2" w:rsidP="00523AD2">
            <w:pPr>
              <w:rPr>
                <w:rFonts w:eastAsia="Times New Roman" w:cs="Calibri"/>
                <w:color w:val="000000"/>
                <w:sz w:val="20"/>
                <w:szCs w:val="20"/>
                <w:lang w:val="en-US"/>
              </w:rPr>
            </w:pPr>
            <w:r w:rsidRPr="00523AD2">
              <w:rPr>
                <w:rFonts w:eastAsia="Times New Roman" w:cs="Calibri"/>
                <w:color w:val="000000"/>
                <w:sz w:val="20"/>
                <w:szCs w:val="20"/>
                <w:lang w:val="en-US"/>
              </w:rPr>
              <w:t>Селена Пейпър /Офис консумативи ООД</w:t>
            </w:r>
          </w:p>
        </w:tc>
        <w:tc>
          <w:tcPr>
            <w:tcW w:w="1134" w:type="dxa"/>
            <w:tcBorders>
              <w:top w:val="nil"/>
              <w:left w:val="nil"/>
              <w:bottom w:val="single" w:sz="8" w:space="0" w:color="E26B0A"/>
              <w:right w:val="single" w:sz="8" w:space="0" w:color="E26B0A"/>
            </w:tcBorders>
            <w:shd w:val="clear" w:color="000000" w:fill="FDE9D9"/>
            <w:noWrap/>
            <w:vAlign w:val="bottom"/>
            <w:hideMark/>
          </w:tcPr>
          <w:p w14:paraId="2BE8B7BA" w14:textId="77777777" w:rsidR="00523AD2" w:rsidRPr="00523AD2" w:rsidRDefault="00523AD2" w:rsidP="00523AD2">
            <w:pPr>
              <w:jc w:val="right"/>
              <w:rPr>
                <w:rFonts w:eastAsia="Times New Roman" w:cs="Calibri"/>
                <w:sz w:val="20"/>
                <w:szCs w:val="20"/>
                <w:lang w:val="en-US"/>
              </w:rPr>
            </w:pPr>
            <w:r w:rsidRPr="00523AD2">
              <w:rPr>
                <w:rFonts w:eastAsia="Times New Roman" w:cs="Calibri"/>
                <w:sz w:val="20"/>
                <w:szCs w:val="20"/>
                <w:lang w:val="en-US"/>
              </w:rPr>
              <w:t>2,865</w:t>
            </w:r>
          </w:p>
        </w:tc>
        <w:tc>
          <w:tcPr>
            <w:tcW w:w="1134" w:type="dxa"/>
            <w:tcBorders>
              <w:top w:val="nil"/>
              <w:left w:val="nil"/>
              <w:bottom w:val="single" w:sz="8" w:space="0" w:color="E26B0A"/>
              <w:right w:val="single" w:sz="8" w:space="0" w:color="E26B0A"/>
            </w:tcBorders>
            <w:shd w:val="clear" w:color="000000" w:fill="FDE9D9"/>
            <w:noWrap/>
            <w:vAlign w:val="bottom"/>
            <w:hideMark/>
          </w:tcPr>
          <w:p w14:paraId="19DD3370" w14:textId="77777777" w:rsidR="00523AD2" w:rsidRPr="00523AD2" w:rsidRDefault="00523AD2" w:rsidP="00523AD2">
            <w:pPr>
              <w:jc w:val="right"/>
              <w:rPr>
                <w:rFonts w:eastAsia="Times New Roman" w:cs="Calibri"/>
                <w:sz w:val="20"/>
                <w:szCs w:val="20"/>
                <w:lang w:val="en-US"/>
              </w:rPr>
            </w:pPr>
            <w:r w:rsidRPr="00523AD2">
              <w:rPr>
                <w:rFonts w:eastAsia="Times New Roman" w:cs="Calibri"/>
                <w:sz w:val="20"/>
                <w:szCs w:val="20"/>
                <w:lang w:val="en-US"/>
              </w:rPr>
              <w:t>2,480</w:t>
            </w:r>
          </w:p>
        </w:tc>
        <w:tc>
          <w:tcPr>
            <w:tcW w:w="1701" w:type="dxa"/>
            <w:tcBorders>
              <w:top w:val="nil"/>
              <w:left w:val="nil"/>
              <w:bottom w:val="single" w:sz="8" w:space="0" w:color="E26B0A"/>
              <w:right w:val="single" w:sz="8" w:space="0" w:color="E26B0A"/>
            </w:tcBorders>
            <w:shd w:val="clear" w:color="000000" w:fill="FDE9D9"/>
            <w:hideMark/>
          </w:tcPr>
          <w:p w14:paraId="560B137F" w14:textId="77777777" w:rsidR="00523AD2" w:rsidRPr="00523AD2" w:rsidRDefault="00523AD2" w:rsidP="00523AD2">
            <w:pPr>
              <w:jc w:val="center"/>
              <w:rPr>
                <w:rFonts w:eastAsia="Times New Roman" w:cs="Calibri"/>
                <w:sz w:val="20"/>
                <w:szCs w:val="20"/>
                <w:lang w:val="en-US"/>
              </w:rPr>
            </w:pPr>
            <w:r w:rsidRPr="00523AD2">
              <w:rPr>
                <w:rFonts w:eastAsia="Times New Roman" w:cs="Calibri"/>
                <w:sz w:val="20"/>
                <w:szCs w:val="20"/>
                <w:lang w:val="en-US"/>
              </w:rPr>
              <w:t>15,52%</w:t>
            </w:r>
          </w:p>
        </w:tc>
      </w:tr>
      <w:tr w:rsidR="00523AD2" w:rsidRPr="00523AD2" w14:paraId="306720EB" w14:textId="77777777" w:rsidTr="009A475F">
        <w:trPr>
          <w:trHeight w:val="288"/>
        </w:trPr>
        <w:tc>
          <w:tcPr>
            <w:tcW w:w="5093" w:type="dxa"/>
            <w:tcBorders>
              <w:top w:val="nil"/>
              <w:left w:val="single" w:sz="8" w:space="0" w:color="E26B0A"/>
              <w:bottom w:val="single" w:sz="8" w:space="0" w:color="E26B0A"/>
              <w:right w:val="single" w:sz="8" w:space="0" w:color="E26B0A"/>
            </w:tcBorders>
            <w:shd w:val="clear" w:color="000000" w:fill="FDE9D9"/>
            <w:noWrap/>
            <w:vAlign w:val="bottom"/>
            <w:hideMark/>
          </w:tcPr>
          <w:p w14:paraId="1C1C3704" w14:textId="77777777" w:rsidR="00523AD2" w:rsidRPr="00523AD2" w:rsidRDefault="00523AD2" w:rsidP="00523AD2">
            <w:pPr>
              <w:rPr>
                <w:rFonts w:eastAsia="Times New Roman" w:cs="Calibri"/>
                <w:b/>
                <w:bCs/>
                <w:color w:val="000000"/>
                <w:sz w:val="20"/>
                <w:szCs w:val="20"/>
                <w:lang w:val="en-US"/>
              </w:rPr>
            </w:pPr>
            <w:r w:rsidRPr="00523AD2">
              <w:rPr>
                <w:rFonts w:eastAsia="Times New Roman" w:cs="Calibri"/>
                <w:b/>
                <w:bCs/>
                <w:color w:val="000000"/>
                <w:sz w:val="20"/>
                <w:szCs w:val="20"/>
                <w:lang w:val="en-US"/>
              </w:rPr>
              <w:t>Услуги</w:t>
            </w:r>
          </w:p>
        </w:tc>
        <w:tc>
          <w:tcPr>
            <w:tcW w:w="1134" w:type="dxa"/>
            <w:tcBorders>
              <w:top w:val="nil"/>
              <w:left w:val="nil"/>
              <w:bottom w:val="single" w:sz="8" w:space="0" w:color="E26B0A"/>
              <w:right w:val="single" w:sz="8" w:space="0" w:color="E26B0A"/>
            </w:tcBorders>
            <w:shd w:val="clear" w:color="000000" w:fill="FDE9D9"/>
            <w:noWrap/>
            <w:vAlign w:val="bottom"/>
            <w:hideMark/>
          </w:tcPr>
          <w:p w14:paraId="017767A1" w14:textId="77777777" w:rsidR="00523AD2" w:rsidRPr="00523AD2" w:rsidRDefault="00523AD2" w:rsidP="00523AD2">
            <w:pPr>
              <w:jc w:val="right"/>
              <w:rPr>
                <w:rFonts w:eastAsia="Times New Roman" w:cs="Calibri"/>
                <w:sz w:val="20"/>
                <w:szCs w:val="20"/>
                <w:lang w:val="en-US"/>
              </w:rPr>
            </w:pPr>
            <w:r w:rsidRPr="00523AD2">
              <w:rPr>
                <w:rFonts w:eastAsia="Times New Roman" w:cs="Calibri"/>
                <w:sz w:val="20"/>
                <w:szCs w:val="20"/>
                <w:lang w:val="en-US"/>
              </w:rPr>
              <w:t> </w:t>
            </w:r>
          </w:p>
        </w:tc>
        <w:tc>
          <w:tcPr>
            <w:tcW w:w="1134" w:type="dxa"/>
            <w:tcBorders>
              <w:top w:val="nil"/>
              <w:left w:val="nil"/>
              <w:bottom w:val="single" w:sz="8" w:space="0" w:color="E26B0A"/>
              <w:right w:val="single" w:sz="8" w:space="0" w:color="E26B0A"/>
            </w:tcBorders>
            <w:shd w:val="clear" w:color="000000" w:fill="FDE9D9"/>
            <w:noWrap/>
            <w:vAlign w:val="bottom"/>
            <w:hideMark/>
          </w:tcPr>
          <w:p w14:paraId="5CCF476E" w14:textId="77777777" w:rsidR="00523AD2" w:rsidRPr="00523AD2" w:rsidRDefault="00523AD2" w:rsidP="00523AD2">
            <w:pPr>
              <w:jc w:val="right"/>
              <w:rPr>
                <w:rFonts w:eastAsia="Times New Roman" w:cs="Calibri"/>
                <w:sz w:val="20"/>
                <w:szCs w:val="20"/>
                <w:lang w:val="en-US"/>
              </w:rPr>
            </w:pPr>
            <w:r w:rsidRPr="00523AD2">
              <w:rPr>
                <w:rFonts w:eastAsia="Times New Roman" w:cs="Calibri"/>
                <w:sz w:val="20"/>
                <w:szCs w:val="20"/>
                <w:lang w:val="en-US"/>
              </w:rPr>
              <w:t> </w:t>
            </w:r>
          </w:p>
        </w:tc>
        <w:tc>
          <w:tcPr>
            <w:tcW w:w="1701" w:type="dxa"/>
            <w:tcBorders>
              <w:top w:val="nil"/>
              <w:left w:val="nil"/>
              <w:bottom w:val="single" w:sz="8" w:space="0" w:color="E26B0A"/>
              <w:right w:val="single" w:sz="8" w:space="0" w:color="E26B0A"/>
            </w:tcBorders>
            <w:shd w:val="clear" w:color="000000" w:fill="FDE9D9"/>
            <w:hideMark/>
          </w:tcPr>
          <w:p w14:paraId="16F42CCB" w14:textId="77777777" w:rsidR="00523AD2" w:rsidRPr="00523AD2" w:rsidRDefault="00523AD2" w:rsidP="00523AD2">
            <w:pPr>
              <w:jc w:val="center"/>
              <w:rPr>
                <w:rFonts w:eastAsia="Times New Roman" w:cs="Calibri"/>
                <w:sz w:val="20"/>
                <w:szCs w:val="20"/>
                <w:lang w:val="en-US"/>
              </w:rPr>
            </w:pPr>
            <w:r w:rsidRPr="00523AD2">
              <w:rPr>
                <w:rFonts w:eastAsia="Times New Roman" w:cs="Calibri"/>
                <w:sz w:val="20"/>
                <w:szCs w:val="20"/>
                <w:lang w:val="en-US"/>
              </w:rPr>
              <w:t> </w:t>
            </w:r>
          </w:p>
        </w:tc>
      </w:tr>
      <w:tr w:rsidR="00523AD2" w:rsidRPr="00523AD2" w14:paraId="4B2E4B8E" w14:textId="77777777" w:rsidTr="009A475F">
        <w:trPr>
          <w:trHeight w:val="288"/>
        </w:trPr>
        <w:tc>
          <w:tcPr>
            <w:tcW w:w="5093" w:type="dxa"/>
            <w:tcBorders>
              <w:top w:val="nil"/>
              <w:left w:val="single" w:sz="8" w:space="0" w:color="E26B0A"/>
              <w:bottom w:val="single" w:sz="8" w:space="0" w:color="E26B0A"/>
              <w:right w:val="single" w:sz="8" w:space="0" w:color="E26B0A"/>
            </w:tcBorders>
            <w:shd w:val="clear" w:color="000000" w:fill="FDE9D9"/>
            <w:noWrap/>
            <w:vAlign w:val="bottom"/>
            <w:hideMark/>
          </w:tcPr>
          <w:p w14:paraId="7F66A18C" w14:textId="77777777" w:rsidR="00523AD2" w:rsidRPr="00523AD2" w:rsidRDefault="00523AD2" w:rsidP="00523AD2">
            <w:pPr>
              <w:rPr>
                <w:rFonts w:eastAsia="Times New Roman" w:cs="Calibri"/>
                <w:color w:val="000000"/>
                <w:sz w:val="20"/>
                <w:szCs w:val="20"/>
                <w:lang w:val="en-US"/>
              </w:rPr>
            </w:pPr>
            <w:r w:rsidRPr="00523AD2">
              <w:rPr>
                <w:rFonts w:eastAsia="Times New Roman" w:cs="Calibri"/>
                <w:color w:val="000000"/>
                <w:sz w:val="20"/>
                <w:szCs w:val="20"/>
                <w:lang w:val="en-US"/>
              </w:rPr>
              <w:t>Зонар ЕООД</w:t>
            </w:r>
          </w:p>
        </w:tc>
        <w:tc>
          <w:tcPr>
            <w:tcW w:w="1134" w:type="dxa"/>
            <w:tcBorders>
              <w:top w:val="nil"/>
              <w:left w:val="nil"/>
              <w:bottom w:val="single" w:sz="8" w:space="0" w:color="E26B0A"/>
              <w:right w:val="single" w:sz="8" w:space="0" w:color="E26B0A"/>
            </w:tcBorders>
            <w:shd w:val="clear" w:color="000000" w:fill="FDE9D9"/>
            <w:noWrap/>
            <w:vAlign w:val="bottom"/>
            <w:hideMark/>
          </w:tcPr>
          <w:p w14:paraId="1F507152" w14:textId="77777777" w:rsidR="00523AD2" w:rsidRPr="00523AD2" w:rsidRDefault="00523AD2" w:rsidP="00523AD2">
            <w:pPr>
              <w:jc w:val="right"/>
              <w:rPr>
                <w:rFonts w:eastAsia="Times New Roman" w:cs="Calibri"/>
                <w:sz w:val="20"/>
                <w:szCs w:val="20"/>
                <w:lang w:val="en-US"/>
              </w:rPr>
            </w:pPr>
            <w:r w:rsidRPr="00523AD2">
              <w:rPr>
                <w:rFonts w:eastAsia="Times New Roman" w:cs="Calibri"/>
                <w:sz w:val="20"/>
                <w:szCs w:val="20"/>
                <w:lang w:val="en-US"/>
              </w:rPr>
              <w:t>17,233</w:t>
            </w:r>
          </w:p>
        </w:tc>
        <w:tc>
          <w:tcPr>
            <w:tcW w:w="1134" w:type="dxa"/>
            <w:tcBorders>
              <w:top w:val="nil"/>
              <w:left w:val="nil"/>
              <w:bottom w:val="single" w:sz="8" w:space="0" w:color="E26B0A"/>
              <w:right w:val="single" w:sz="8" w:space="0" w:color="E26B0A"/>
            </w:tcBorders>
            <w:shd w:val="clear" w:color="000000" w:fill="FDE9D9"/>
            <w:noWrap/>
            <w:vAlign w:val="bottom"/>
            <w:hideMark/>
          </w:tcPr>
          <w:p w14:paraId="6C181B32" w14:textId="77777777" w:rsidR="00523AD2" w:rsidRPr="00523AD2" w:rsidRDefault="00523AD2" w:rsidP="00523AD2">
            <w:pPr>
              <w:jc w:val="right"/>
              <w:rPr>
                <w:rFonts w:eastAsia="Times New Roman" w:cs="Calibri"/>
                <w:sz w:val="20"/>
                <w:szCs w:val="20"/>
                <w:lang w:val="en-US"/>
              </w:rPr>
            </w:pPr>
            <w:r w:rsidRPr="00523AD2">
              <w:rPr>
                <w:rFonts w:eastAsia="Times New Roman" w:cs="Calibri"/>
                <w:sz w:val="20"/>
                <w:szCs w:val="20"/>
                <w:lang w:val="en-US"/>
              </w:rPr>
              <w:t>18,227</w:t>
            </w:r>
          </w:p>
        </w:tc>
        <w:tc>
          <w:tcPr>
            <w:tcW w:w="1701" w:type="dxa"/>
            <w:tcBorders>
              <w:top w:val="nil"/>
              <w:left w:val="nil"/>
              <w:bottom w:val="single" w:sz="8" w:space="0" w:color="E26B0A"/>
              <w:right w:val="single" w:sz="8" w:space="0" w:color="E26B0A"/>
            </w:tcBorders>
            <w:shd w:val="clear" w:color="000000" w:fill="FDE9D9"/>
            <w:hideMark/>
          </w:tcPr>
          <w:p w14:paraId="73D84725" w14:textId="77777777" w:rsidR="00523AD2" w:rsidRPr="00523AD2" w:rsidRDefault="00523AD2" w:rsidP="00523AD2">
            <w:pPr>
              <w:jc w:val="center"/>
              <w:rPr>
                <w:rFonts w:eastAsia="Times New Roman" w:cs="Calibri"/>
                <w:sz w:val="20"/>
                <w:szCs w:val="20"/>
                <w:lang w:val="en-US"/>
              </w:rPr>
            </w:pPr>
            <w:r w:rsidRPr="00523AD2">
              <w:rPr>
                <w:rFonts w:eastAsia="Times New Roman" w:cs="Calibri"/>
                <w:sz w:val="20"/>
                <w:szCs w:val="20"/>
                <w:lang w:val="en-US"/>
              </w:rPr>
              <w:t>-5,45%</w:t>
            </w:r>
          </w:p>
        </w:tc>
      </w:tr>
      <w:tr w:rsidR="00523AD2" w:rsidRPr="00523AD2" w14:paraId="738B80F9" w14:textId="77777777" w:rsidTr="009A475F">
        <w:trPr>
          <w:trHeight w:val="288"/>
        </w:trPr>
        <w:tc>
          <w:tcPr>
            <w:tcW w:w="5093" w:type="dxa"/>
            <w:tcBorders>
              <w:top w:val="nil"/>
              <w:left w:val="single" w:sz="8" w:space="0" w:color="E26B0A"/>
              <w:bottom w:val="single" w:sz="8" w:space="0" w:color="E26B0A"/>
              <w:right w:val="single" w:sz="8" w:space="0" w:color="E26B0A"/>
            </w:tcBorders>
            <w:shd w:val="clear" w:color="000000" w:fill="FDE9D9"/>
            <w:noWrap/>
            <w:vAlign w:val="bottom"/>
            <w:hideMark/>
          </w:tcPr>
          <w:p w14:paraId="4A155CD4" w14:textId="77777777" w:rsidR="00523AD2" w:rsidRPr="00523AD2" w:rsidRDefault="00523AD2" w:rsidP="00523AD2">
            <w:pPr>
              <w:rPr>
                <w:rFonts w:eastAsia="Times New Roman" w:cs="Calibri"/>
                <w:color w:val="000000"/>
                <w:sz w:val="20"/>
                <w:szCs w:val="20"/>
                <w:lang w:val="en-US"/>
              </w:rPr>
            </w:pPr>
            <w:r w:rsidRPr="00523AD2">
              <w:rPr>
                <w:rFonts w:eastAsia="Times New Roman" w:cs="Calibri"/>
                <w:color w:val="000000"/>
                <w:sz w:val="20"/>
                <w:szCs w:val="20"/>
                <w:lang w:val="en-US"/>
              </w:rPr>
              <w:t>МБАЛ св.Анна /</w:t>
            </w:r>
          </w:p>
        </w:tc>
        <w:tc>
          <w:tcPr>
            <w:tcW w:w="1134" w:type="dxa"/>
            <w:tcBorders>
              <w:top w:val="nil"/>
              <w:left w:val="nil"/>
              <w:bottom w:val="single" w:sz="8" w:space="0" w:color="E26B0A"/>
              <w:right w:val="single" w:sz="8" w:space="0" w:color="E26B0A"/>
            </w:tcBorders>
            <w:shd w:val="clear" w:color="000000" w:fill="FDE9D9"/>
            <w:noWrap/>
            <w:vAlign w:val="bottom"/>
            <w:hideMark/>
          </w:tcPr>
          <w:p w14:paraId="30970D7A" w14:textId="77777777" w:rsidR="00523AD2" w:rsidRPr="00523AD2" w:rsidRDefault="00523AD2" w:rsidP="00523AD2">
            <w:pPr>
              <w:jc w:val="right"/>
              <w:rPr>
                <w:rFonts w:eastAsia="Times New Roman" w:cs="Calibri"/>
                <w:sz w:val="20"/>
                <w:szCs w:val="20"/>
                <w:lang w:val="en-US"/>
              </w:rPr>
            </w:pPr>
            <w:r w:rsidRPr="00523AD2">
              <w:rPr>
                <w:rFonts w:eastAsia="Times New Roman" w:cs="Calibri"/>
                <w:sz w:val="20"/>
                <w:szCs w:val="20"/>
                <w:lang w:val="en-US"/>
              </w:rPr>
              <w:t>2,081</w:t>
            </w:r>
          </w:p>
        </w:tc>
        <w:tc>
          <w:tcPr>
            <w:tcW w:w="1134" w:type="dxa"/>
            <w:tcBorders>
              <w:top w:val="nil"/>
              <w:left w:val="nil"/>
              <w:bottom w:val="single" w:sz="8" w:space="0" w:color="E26B0A"/>
              <w:right w:val="single" w:sz="8" w:space="0" w:color="E26B0A"/>
            </w:tcBorders>
            <w:shd w:val="clear" w:color="000000" w:fill="FDE9D9"/>
            <w:noWrap/>
            <w:vAlign w:val="bottom"/>
            <w:hideMark/>
          </w:tcPr>
          <w:p w14:paraId="2DECE0B5" w14:textId="77777777" w:rsidR="00523AD2" w:rsidRPr="00523AD2" w:rsidRDefault="00523AD2" w:rsidP="00523AD2">
            <w:pPr>
              <w:jc w:val="right"/>
              <w:rPr>
                <w:rFonts w:eastAsia="Times New Roman" w:cs="Calibri"/>
                <w:sz w:val="20"/>
                <w:szCs w:val="20"/>
                <w:lang w:val="en-US"/>
              </w:rPr>
            </w:pPr>
            <w:r w:rsidRPr="00523AD2">
              <w:rPr>
                <w:rFonts w:eastAsia="Times New Roman" w:cs="Calibri"/>
                <w:sz w:val="20"/>
                <w:szCs w:val="20"/>
                <w:lang w:val="en-US"/>
              </w:rPr>
              <w:t>2,646</w:t>
            </w:r>
          </w:p>
        </w:tc>
        <w:tc>
          <w:tcPr>
            <w:tcW w:w="1701" w:type="dxa"/>
            <w:tcBorders>
              <w:top w:val="nil"/>
              <w:left w:val="nil"/>
              <w:bottom w:val="single" w:sz="8" w:space="0" w:color="E26B0A"/>
              <w:right w:val="single" w:sz="8" w:space="0" w:color="E26B0A"/>
            </w:tcBorders>
            <w:shd w:val="clear" w:color="000000" w:fill="FDE9D9"/>
            <w:hideMark/>
          </w:tcPr>
          <w:p w14:paraId="73753BFE" w14:textId="77777777" w:rsidR="00523AD2" w:rsidRPr="00523AD2" w:rsidRDefault="00523AD2" w:rsidP="00523AD2">
            <w:pPr>
              <w:jc w:val="center"/>
              <w:rPr>
                <w:rFonts w:eastAsia="Times New Roman" w:cs="Calibri"/>
                <w:sz w:val="20"/>
                <w:szCs w:val="20"/>
                <w:lang w:val="en-US"/>
              </w:rPr>
            </w:pPr>
            <w:r w:rsidRPr="00523AD2">
              <w:rPr>
                <w:rFonts w:eastAsia="Times New Roman" w:cs="Calibri"/>
                <w:sz w:val="20"/>
                <w:szCs w:val="20"/>
                <w:lang w:val="en-US"/>
              </w:rPr>
              <w:t>-21,35%</w:t>
            </w:r>
          </w:p>
        </w:tc>
      </w:tr>
      <w:tr w:rsidR="00523AD2" w:rsidRPr="00523AD2" w14:paraId="17F4F2A7" w14:textId="77777777" w:rsidTr="009A475F">
        <w:trPr>
          <w:trHeight w:val="288"/>
        </w:trPr>
        <w:tc>
          <w:tcPr>
            <w:tcW w:w="5093" w:type="dxa"/>
            <w:tcBorders>
              <w:top w:val="nil"/>
              <w:left w:val="single" w:sz="8" w:space="0" w:color="E26B0A"/>
              <w:bottom w:val="single" w:sz="8" w:space="0" w:color="E26B0A"/>
              <w:right w:val="single" w:sz="8" w:space="0" w:color="E26B0A"/>
            </w:tcBorders>
            <w:shd w:val="clear" w:color="000000" w:fill="FDE9D9"/>
            <w:noWrap/>
            <w:vAlign w:val="bottom"/>
            <w:hideMark/>
          </w:tcPr>
          <w:p w14:paraId="49DFBA7B" w14:textId="77777777" w:rsidR="00523AD2" w:rsidRPr="00523AD2" w:rsidRDefault="00523AD2" w:rsidP="00523AD2">
            <w:pPr>
              <w:rPr>
                <w:rFonts w:eastAsia="Times New Roman" w:cs="Calibri"/>
                <w:color w:val="000000"/>
                <w:sz w:val="20"/>
                <w:szCs w:val="20"/>
                <w:lang w:val="en-US"/>
              </w:rPr>
            </w:pPr>
            <w:r w:rsidRPr="00523AD2">
              <w:rPr>
                <w:rFonts w:eastAsia="Times New Roman" w:cs="Calibri"/>
                <w:color w:val="000000"/>
                <w:sz w:val="20"/>
                <w:szCs w:val="20"/>
                <w:lang w:val="en-US"/>
              </w:rPr>
              <w:t>Медикал Рисърчис ЕООД</w:t>
            </w:r>
          </w:p>
        </w:tc>
        <w:tc>
          <w:tcPr>
            <w:tcW w:w="1134" w:type="dxa"/>
            <w:tcBorders>
              <w:top w:val="nil"/>
              <w:left w:val="nil"/>
              <w:bottom w:val="single" w:sz="8" w:space="0" w:color="E26B0A"/>
              <w:right w:val="single" w:sz="8" w:space="0" w:color="E26B0A"/>
            </w:tcBorders>
            <w:shd w:val="clear" w:color="000000" w:fill="FDE9D9"/>
            <w:noWrap/>
            <w:vAlign w:val="bottom"/>
            <w:hideMark/>
          </w:tcPr>
          <w:p w14:paraId="2701DB6C" w14:textId="77777777" w:rsidR="00523AD2" w:rsidRPr="00523AD2" w:rsidRDefault="00523AD2" w:rsidP="00523AD2">
            <w:pPr>
              <w:jc w:val="right"/>
              <w:rPr>
                <w:rFonts w:eastAsia="Times New Roman" w:cs="Calibri"/>
                <w:sz w:val="20"/>
                <w:szCs w:val="20"/>
                <w:lang w:val="en-US"/>
              </w:rPr>
            </w:pPr>
            <w:r w:rsidRPr="00523AD2">
              <w:rPr>
                <w:rFonts w:eastAsia="Times New Roman" w:cs="Calibri"/>
                <w:sz w:val="20"/>
                <w:szCs w:val="20"/>
                <w:lang w:val="en-US"/>
              </w:rPr>
              <w:t>3,446</w:t>
            </w:r>
          </w:p>
        </w:tc>
        <w:tc>
          <w:tcPr>
            <w:tcW w:w="1134" w:type="dxa"/>
            <w:tcBorders>
              <w:top w:val="nil"/>
              <w:left w:val="nil"/>
              <w:bottom w:val="single" w:sz="8" w:space="0" w:color="E26B0A"/>
              <w:right w:val="single" w:sz="8" w:space="0" w:color="E26B0A"/>
            </w:tcBorders>
            <w:shd w:val="clear" w:color="000000" w:fill="FDE9D9"/>
            <w:noWrap/>
            <w:vAlign w:val="bottom"/>
            <w:hideMark/>
          </w:tcPr>
          <w:p w14:paraId="0D4B96CE" w14:textId="77777777" w:rsidR="00523AD2" w:rsidRPr="00523AD2" w:rsidRDefault="00523AD2" w:rsidP="00523AD2">
            <w:pPr>
              <w:jc w:val="right"/>
              <w:rPr>
                <w:rFonts w:eastAsia="Times New Roman" w:cs="Calibri"/>
                <w:sz w:val="20"/>
                <w:szCs w:val="20"/>
                <w:lang w:val="en-US"/>
              </w:rPr>
            </w:pPr>
            <w:r w:rsidRPr="00523AD2">
              <w:rPr>
                <w:rFonts w:eastAsia="Times New Roman" w:cs="Calibri"/>
                <w:sz w:val="20"/>
                <w:szCs w:val="20"/>
                <w:lang w:val="en-US"/>
              </w:rPr>
              <w:t>3,755</w:t>
            </w:r>
          </w:p>
        </w:tc>
        <w:tc>
          <w:tcPr>
            <w:tcW w:w="1701" w:type="dxa"/>
            <w:tcBorders>
              <w:top w:val="nil"/>
              <w:left w:val="nil"/>
              <w:bottom w:val="single" w:sz="8" w:space="0" w:color="E26B0A"/>
              <w:right w:val="single" w:sz="8" w:space="0" w:color="E26B0A"/>
            </w:tcBorders>
            <w:shd w:val="clear" w:color="000000" w:fill="FDE9D9"/>
            <w:hideMark/>
          </w:tcPr>
          <w:p w14:paraId="27E504C6" w14:textId="77777777" w:rsidR="00523AD2" w:rsidRPr="00523AD2" w:rsidRDefault="00523AD2" w:rsidP="00523AD2">
            <w:pPr>
              <w:jc w:val="center"/>
              <w:rPr>
                <w:rFonts w:eastAsia="Times New Roman" w:cs="Calibri"/>
                <w:sz w:val="20"/>
                <w:szCs w:val="20"/>
                <w:lang w:val="en-US"/>
              </w:rPr>
            </w:pPr>
            <w:r w:rsidRPr="00523AD2">
              <w:rPr>
                <w:rFonts w:eastAsia="Times New Roman" w:cs="Calibri"/>
                <w:sz w:val="20"/>
                <w:szCs w:val="20"/>
                <w:lang w:val="en-US"/>
              </w:rPr>
              <w:t>-8,23%</w:t>
            </w:r>
          </w:p>
        </w:tc>
      </w:tr>
      <w:tr w:rsidR="00523AD2" w:rsidRPr="00523AD2" w14:paraId="5D870845" w14:textId="77777777" w:rsidTr="009A475F">
        <w:trPr>
          <w:trHeight w:val="288"/>
        </w:trPr>
        <w:tc>
          <w:tcPr>
            <w:tcW w:w="5093" w:type="dxa"/>
            <w:tcBorders>
              <w:top w:val="nil"/>
              <w:left w:val="single" w:sz="8" w:space="0" w:color="E26B0A"/>
              <w:bottom w:val="single" w:sz="8" w:space="0" w:color="E26B0A"/>
              <w:right w:val="single" w:sz="8" w:space="0" w:color="E26B0A"/>
            </w:tcBorders>
            <w:shd w:val="clear" w:color="000000" w:fill="FDE9D9"/>
            <w:noWrap/>
            <w:vAlign w:val="bottom"/>
            <w:hideMark/>
          </w:tcPr>
          <w:p w14:paraId="2B0DB887" w14:textId="77777777" w:rsidR="00523AD2" w:rsidRPr="00523AD2" w:rsidRDefault="00523AD2" w:rsidP="00523AD2">
            <w:pPr>
              <w:rPr>
                <w:rFonts w:eastAsia="Times New Roman" w:cs="Calibri"/>
                <w:color w:val="000000"/>
                <w:sz w:val="20"/>
                <w:szCs w:val="20"/>
                <w:lang w:val="en-US"/>
              </w:rPr>
            </w:pPr>
            <w:r w:rsidRPr="00523AD2">
              <w:rPr>
                <w:rFonts w:eastAsia="Times New Roman" w:cs="Calibri"/>
                <w:color w:val="000000"/>
                <w:sz w:val="20"/>
                <w:szCs w:val="20"/>
                <w:lang w:val="en-US"/>
              </w:rPr>
              <w:t>Клик енд гоу /Еко Глоб</w:t>
            </w:r>
          </w:p>
        </w:tc>
        <w:tc>
          <w:tcPr>
            <w:tcW w:w="1134" w:type="dxa"/>
            <w:tcBorders>
              <w:top w:val="nil"/>
              <w:left w:val="nil"/>
              <w:bottom w:val="single" w:sz="8" w:space="0" w:color="E26B0A"/>
              <w:right w:val="single" w:sz="8" w:space="0" w:color="E26B0A"/>
            </w:tcBorders>
            <w:shd w:val="clear" w:color="000000" w:fill="FDE9D9"/>
            <w:noWrap/>
            <w:vAlign w:val="bottom"/>
            <w:hideMark/>
          </w:tcPr>
          <w:p w14:paraId="486CCDF0" w14:textId="77777777" w:rsidR="00523AD2" w:rsidRPr="00523AD2" w:rsidRDefault="00523AD2" w:rsidP="00523AD2">
            <w:pPr>
              <w:jc w:val="right"/>
              <w:rPr>
                <w:rFonts w:eastAsia="Times New Roman" w:cs="Calibri"/>
                <w:sz w:val="20"/>
                <w:szCs w:val="20"/>
                <w:lang w:val="en-US"/>
              </w:rPr>
            </w:pPr>
            <w:r w:rsidRPr="00523AD2">
              <w:rPr>
                <w:rFonts w:eastAsia="Times New Roman" w:cs="Calibri"/>
                <w:sz w:val="20"/>
                <w:szCs w:val="20"/>
                <w:lang w:val="en-US"/>
              </w:rPr>
              <w:t>6,266</w:t>
            </w:r>
          </w:p>
        </w:tc>
        <w:tc>
          <w:tcPr>
            <w:tcW w:w="1134" w:type="dxa"/>
            <w:tcBorders>
              <w:top w:val="nil"/>
              <w:left w:val="nil"/>
              <w:bottom w:val="single" w:sz="8" w:space="0" w:color="E26B0A"/>
              <w:right w:val="single" w:sz="8" w:space="0" w:color="E26B0A"/>
            </w:tcBorders>
            <w:shd w:val="clear" w:color="000000" w:fill="FDE9D9"/>
            <w:noWrap/>
            <w:vAlign w:val="bottom"/>
            <w:hideMark/>
          </w:tcPr>
          <w:p w14:paraId="11254130" w14:textId="77777777" w:rsidR="00523AD2" w:rsidRPr="00523AD2" w:rsidRDefault="00523AD2" w:rsidP="00523AD2">
            <w:pPr>
              <w:jc w:val="right"/>
              <w:rPr>
                <w:rFonts w:eastAsia="Times New Roman" w:cs="Calibri"/>
                <w:sz w:val="20"/>
                <w:szCs w:val="20"/>
                <w:lang w:val="en-US"/>
              </w:rPr>
            </w:pPr>
            <w:r w:rsidRPr="00523AD2">
              <w:rPr>
                <w:rFonts w:eastAsia="Times New Roman" w:cs="Calibri"/>
                <w:sz w:val="20"/>
                <w:szCs w:val="20"/>
                <w:lang w:val="en-US"/>
              </w:rPr>
              <w:t>6,628</w:t>
            </w:r>
          </w:p>
        </w:tc>
        <w:tc>
          <w:tcPr>
            <w:tcW w:w="1701" w:type="dxa"/>
            <w:tcBorders>
              <w:top w:val="nil"/>
              <w:left w:val="nil"/>
              <w:bottom w:val="single" w:sz="8" w:space="0" w:color="E26B0A"/>
              <w:right w:val="single" w:sz="8" w:space="0" w:color="E26B0A"/>
            </w:tcBorders>
            <w:shd w:val="clear" w:color="000000" w:fill="FDE9D9"/>
            <w:hideMark/>
          </w:tcPr>
          <w:p w14:paraId="5D428F79" w14:textId="77777777" w:rsidR="00523AD2" w:rsidRPr="00523AD2" w:rsidRDefault="00523AD2" w:rsidP="00523AD2">
            <w:pPr>
              <w:jc w:val="center"/>
              <w:rPr>
                <w:rFonts w:eastAsia="Times New Roman" w:cs="Calibri"/>
                <w:sz w:val="20"/>
                <w:szCs w:val="20"/>
                <w:lang w:val="en-US"/>
              </w:rPr>
            </w:pPr>
            <w:r w:rsidRPr="00523AD2">
              <w:rPr>
                <w:rFonts w:eastAsia="Times New Roman" w:cs="Calibri"/>
                <w:sz w:val="20"/>
                <w:szCs w:val="20"/>
                <w:lang w:val="en-US"/>
              </w:rPr>
              <w:t>-5,46%</w:t>
            </w:r>
          </w:p>
        </w:tc>
      </w:tr>
      <w:tr w:rsidR="00523AD2" w:rsidRPr="00523AD2" w14:paraId="4D1DB40E" w14:textId="77777777" w:rsidTr="009A475F">
        <w:trPr>
          <w:trHeight w:val="288"/>
        </w:trPr>
        <w:tc>
          <w:tcPr>
            <w:tcW w:w="5093" w:type="dxa"/>
            <w:tcBorders>
              <w:top w:val="nil"/>
              <w:left w:val="single" w:sz="8" w:space="0" w:color="E26B0A"/>
              <w:bottom w:val="single" w:sz="8" w:space="0" w:color="E26B0A"/>
              <w:right w:val="single" w:sz="8" w:space="0" w:color="E26B0A"/>
            </w:tcBorders>
            <w:shd w:val="clear" w:color="000000" w:fill="FDE9D9"/>
            <w:noWrap/>
            <w:vAlign w:val="bottom"/>
            <w:hideMark/>
          </w:tcPr>
          <w:p w14:paraId="20552DD0" w14:textId="77777777" w:rsidR="00523AD2" w:rsidRPr="00523AD2" w:rsidRDefault="00523AD2" w:rsidP="00523AD2">
            <w:pPr>
              <w:rPr>
                <w:rFonts w:eastAsia="Times New Roman" w:cs="Calibri"/>
                <w:color w:val="000000"/>
                <w:sz w:val="20"/>
                <w:szCs w:val="20"/>
                <w:lang w:val="en-US"/>
              </w:rPr>
            </w:pPr>
            <w:r w:rsidRPr="00523AD2">
              <w:rPr>
                <w:rFonts w:eastAsia="Times New Roman" w:cs="Calibri"/>
                <w:color w:val="000000"/>
                <w:sz w:val="20"/>
                <w:szCs w:val="20"/>
                <w:lang w:val="en-US"/>
              </w:rPr>
              <w:t>Радиографик ООД</w:t>
            </w:r>
          </w:p>
        </w:tc>
        <w:tc>
          <w:tcPr>
            <w:tcW w:w="1134" w:type="dxa"/>
            <w:tcBorders>
              <w:top w:val="nil"/>
              <w:left w:val="nil"/>
              <w:bottom w:val="single" w:sz="8" w:space="0" w:color="E26B0A"/>
              <w:right w:val="single" w:sz="8" w:space="0" w:color="E26B0A"/>
            </w:tcBorders>
            <w:shd w:val="clear" w:color="000000" w:fill="FDE9D9"/>
            <w:noWrap/>
            <w:vAlign w:val="bottom"/>
            <w:hideMark/>
          </w:tcPr>
          <w:p w14:paraId="7ECB49DE" w14:textId="77777777" w:rsidR="00523AD2" w:rsidRPr="00523AD2" w:rsidRDefault="00523AD2" w:rsidP="00523AD2">
            <w:pPr>
              <w:jc w:val="right"/>
              <w:rPr>
                <w:rFonts w:eastAsia="Times New Roman" w:cs="Calibri"/>
                <w:sz w:val="20"/>
                <w:szCs w:val="20"/>
                <w:lang w:val="en-US"/>
              </w:rPr>
            </w:pPr>
            <w:r w:rsidRPr="00523AD2">
              <w:rPr>
                <w:rFonts w:eastAsia="Times New Roman" w:cs="Calibri"/>
                <w:sz w:val="20"/>
                <w:szCs w:val="20"/>
                <w:lang w:val="en-US"/>
              </w:rPr>
              <w:t>2,820</w:t>
            </w:r>
          </w:p>
        </w:tc>
        <w:tc>
          <w:tcPr>
            <w:tcW w:w="1134" w:type="dxa"/>
            <w:tcBorders>
              <w:top w:val="nil"/>
              <w:left w:val="nil"/>
              <w:bottom w:val="single" w:sz="8" w:space="0" w:color="E26B0A"/>
              <w:right w:val="single" w:sz="8" w:space="0" w:color="E26B0A"/>
            </w:tcBorders>
            <w:shd w:val="clear" w:color="000000" w:fill="FDE9D9"/>
            <w:noWrap/>
            <w:vAlign w:val="bottom"/>
            <w:hideMark/>
          </w:tcPr>
          <w:p w14:paraId="57DDCA86" w14:textId="77777777" w:rsidR="00523AD2" w:rsidRPr="00523AD2" w:rsidRDefault="00523AD2" w:rsidP="00523AD2">
            <w:pPr>
              <w:jc w:val="right"/>
              <w:rPr>
                <w:rFonts w:eastAsia="Times New Roman" w:cs="Calibri"/>
                <w:sz w:val="20"/>
                <w:szCs w:val="20"/>
                <w:lang w:val="en-US"/>
              </w:rPr>
            </w:pPr>
            <w:r w:rsidRPr="00523AD2">
              <w:rPr>
                <w:rFonts w:eastAsia="Times New Roman" w:cs="Calibri"/>
                <w:sz w:val="20"/>
                <w:szCs w:val="20"/>
                <w:lang w:val="en-US"/>
              </w:rPr>
              <w:t>3,579</w:t>
            </w:r>
          </w:p>
        </w:tc>
        <w:tc>
          <w:tcPr>
            <w:tcW w:w="1701" w:type="dxa"/>
            <w:tcBorders>
              <w:top w:val="nil"/>
              <w:left w:val="nil"/>
              <w:bottom w:val="single" w:sz="8" w:space="0" w:color="E26B0A"/>
              <w:right w:val="single" w:sz="8" w:space="0" w:color="E26B0A"/>
            </w:tcBorders>
            <w:shd w:val="clear" w:color="000000" w:fill="FDE9D9"/>
            <w:hideMark/>
          </w:tcPr>
          <w:p w14:paraId="72AF60B3" w14:textId="77777777" w:rsidR="00523AD2" w:rsidRPr="00523AD2" w:rsidRDefault="00523AD2" w:rsidP="00523AD2">
            <w:pPr>
              <w:jc w:val="center"/>
              <w:rPr>
                <w:rFonts w:eastAsia="Times New Roman" w:cs="Calibri"/>
                <w:sz w:val="20"/>
                <w:szCs w:val="20"/>
                <w:lang w:val="en-US"/>
              </w:rPr>
            </w:pPr>
            <w:r w:rsidRPr="00523AD2">
              <w:rPr>
                <w:rFonts w:eastAsia="Times New Roman" w:cs="Calibri"/>
                <w:sz w:val="20"/>
                <w:szCs w:val="20"/>
                <w:lang w:val="en-US"/>
              </w:rPr>
              <w:t>-21,21%</w:t>
            </w:r>
          </w:p>
        </w:tc>
      </w:tr>
      <w:tr w:rsidR="00523AD2" w:rsidRPr="00523AD2" w14:paraId="38FBFB36" w14:textId="77777777" w:rsidTr="009A475F">
        <w:trPr>
          <w:trHeight w:val="288"/>
        </w:trPr>
        <w:tc>
          <w:tcPr>
            <w:tcW w:w="5093" w:type="dxa"/>
            <w:tcBorders>
              <w:top w:val="nil"/>
              <w:left w:val="single" w:sz="8" w:space="0" w:color="E26B0A"/>
              <w:bottom w:val="single" w:sz="8" w:space="0" w:color="E26B0A"/>
              <w:right w:val="single" w:sz="8" w:space="0" w:color="E26B0A"/>
            </w:tcBorders>
            <w:shd w:val="clear" w:color="000000" w:fill="FDE9D9"/>
            <w:noWrap/>
            <w:vAlign w:val="bottom"/>
            <w:hideMark/>
          </w:tcPr>
          <w:p w14:paraId="3FF7AA69" w14:textId="77777777" w:rsidR="00523AD2" w:rsidRPr="00523AD2" w:rsidRDefault="00523AD2" w:rsidP="00523AD2">
            <w:pPr>
              <w:rPr>
                <w:rFonts w:eastAsia="Times New Roman" w:cs="Calibri"/>
                <w:sz w:val="20"/>
                <w:szCs w:val="20"/>
                <w:lang w:val="en-US"/>
              </w:rPr>
            </w:pPr>
            <w:r w:rsidRPr="00523AD2">
              <w:rPr>
                <w:rFonts w:eastAsia="Times New Roman" w:cs="Calibri"/>
                <w:sz w:val="20"/>
                <w:szCs w:val="20"/>
                <w:lang w:val="en-US"/>
              </w:rPr>
              <w:t>Други доставчици</w:t>
            </w:r>
          </w:p>
        </w:tc>
        <w:tc>
          <w:tcPr>
            <w:tcW w:w="1134" w:type="dxa"/>
            <w:tcBorders>
              <w:top w:val="nil"/>
              <w:left w:val="nil"/>
              <w:bottom w:val="single" w:sz="8" w:space="0" w:color="E26B0A"/>
              <w:right w:val="single" w:sz="8" w:space="0" w:color="E26B0A"/>
            </w:tcBorders>
            <w:shd w:val="clear" w:color="000000" w:fill="FDE9D9"/>
            <w:noWrap/>
            <w:vAlign w:val="bottom"/>
            <w:hideMark/>
          </w:tcPr>
          <w:p w14:paraId="1B5154EA" w14:textId="77777777" w:rsidR="00523AD2" w:rsidRPr="00523AD2" w:rsidRDefault="00523AD2" w:rsidP="00523AD2">
            <w:pPr>
              <w:jc w:val="right"/>
              <w:rPr>
                <w:rFonts w:eastAsia="Times New Roman" w:cs="Calibri"/>
                <w:sz w:val="20"/>
                <w:szCs w:val="20"/>
                <w:lang w:val="en-US"/>
              </w:rPr>
            </w:pPr>
            <w:r w:rsidRPr="00523AD2">
              <w:rPr>
                <w:rFonts w:eastAsia="Times New Roman" w:cs="Calibri"/>
                <w:sz w:val="20"/>
                <w:szCs w:val="20"/>
                <w:lang w:val="en-US"/>
              </w:rPr>
              <w:t>18,369</w:t>
            </w:r>
          </w:p>
        </w:tc>
        <w:tc>
          <w:tcPr>
            <w:tcW w:w="1134" w:type="dxa"/>
            <w:tcBorders>
              <w:top w:val="nil"/>
              <w:left w:val="nil"/>
              <w:bottom w:val="single" w:sz="8" w:space="0" w:color="E26B0A"/>
              <w:right w:val="single" w:sz="8" w:space="0" w:color="E26B0A"/>
            </w:tcBorders>
            <w:shd w:val="clear" w:color="000000" w:fill="FDE9D9"/>
            <w:noWrap/>
            <w:vAlign w:val="bottom"/>
            <w:hideMark/>
          </w:tcPr>
          <w:p w14:paraId="1A335586" w14:textId="77777777" w:rsidR="00523AD2" w:rsidRPr="00523AD2" w:rsidRDefault="00523AD2" w:rsidP="00523AD2">
            <w:pPr>
              <w:jc w:val="right"/>
              <w:rPr>
                <w:rFonts w:eastAsia="Times New Roman" w:cs="Calibri"/>
                <w:sz w:val="20"/>
                <w:szCs w:val="20"/>
                <w:lang w:val="en-US"/>
              </w:rPr>
            </w:pPr>
            <w:r w:rsidRPr="00523AD2">
              <w:rPr>
                <w:rFonts w:eastAsia="Times New Roman" w:cs="Calibri"/>
                <w:sz w:val="20"/>
                <w:szCs w:val="20"/>
                <w:lang w:val="en-US"/>
              </w:rPr>
              <w:t>28,771</w:t>
            </w:r>
          </w:p>
        </w:tc>
        <w:tc>
          <w:tcPr>
            <w:tcW w:w="1701" w:type="dxa"/>
            <w:tcBorders>
              <w:top w:val="nil"/>
              <w:left w:val="nil"/>
              <w:bottom w:val="single" w:sz="8" w:space="0" w:color="E26B0A"/>
              <w:right w:val="single" w:sz="8" w:space="0" w:color="E26B0A"/>
            </w:tcBorders>
            <w:shd w:val="clear" w:color="000000" w:fill="FDE9D9"/>
            <w:hideMark/>
          </w:tcPr>
          <w:p w14:paraId="3E64B837" w14:textId="77777777" w:rsidR="00523AD2" w:rsidRPr="00523AD2" w:rsidRDefault="00523AD2" w:rsidP="00523AD2">
            <w:pPr>
              <w:jc w:val="center"/>
              <w:rPr>
                <w:rFonts w:eastAsia="Times New Roman" w:cs="Calibri"/>
                <w:sz w:val="20"/>
                <w:szCs w:val="20"/>
                <w:lang w:val="en-US"/>
              </w:rPr>
            </w:pPr>
            <w:r w:rsidRPr="00523AD2">
              <w:rPr>
                <w:rFonts w:eastAsia="Times New Roman" w:cs="Calibri"/>
                <w:sz w:val="20"/>
                <w:szCs w:val="20"/>
                <w:lang w:val="en-US"/>
              </w:rPr>
              <w:t>-36,15%</w:t>
            </w:r>
          </w:p>
        </w:tc>
      </w:tr>
      <w:tr w:rsidR="00523AD2" w:rsidRPr="00523AD2" w14:paraId="722AEC32" w14:textId="77777777" w:rsidTr="009A475F">
        <w:trPr>
          <w:trHeight w:val="288"/>
        </w:trPr>
        <w:tc>
          <w:tcPr>
            <w:tcW w:w="5093" w:type="dxa"/>
            <w:tcBorders>
              <w:top w:val="nil"/>
              <w:left w:val="single" w:sz="8" w:space="0" w:color="E26B0A"/>
              <w:bottom w:val="single" w:sz="8" w:space="0" w:color="E26B0A"/>
              <w:right w:val="single" w:sz="8" w:space="0" w:color="E26B0A"/>
            </w:tcBorders>
            <w:shd w:val="clear" w:color="000000" w:fill="F2DCDB"/>
            <w:hideMark/>
          </w:tcPr>
          <w:p w14:paraId="35E1094E" w14:textId="77777777" w:rsidR="00523AD2" w:rsidRPr="00523AD2" w:rsidRDefault="00523AD2" w:rsidP="00523AD2">
            <w:pPr>
              <w:jc w:val="both"/>
              <w:rPr>
                <w:rFonts w:eastAsia="Times New Roman" w:cs="Calibri"/>
                <w:b/>
                <w:bCs/>
                <w:sz w:val="20"/>
                <w:szCs w:val="20"/>
                <w:lang w:val="en-US"/>
              </w:rPr>
            </w:pPr>
            <w:r w:rsidRPr="00523AD2">
              <w:rPr>
                <w:rFonts w:eastAsia="Times New Roman" w:cs="Calibri"/>
                <w:b/>
                <w:bCs/>
                <w:sz w:val="20"/>
                <w:szCs w:val="20"/>
                <w:lang w:val="en-US"/>
              </w:rPr>
              <w:t>Общо</w:t>
            </w:r>
          </w:p>
        </w:tc>
        <w:tc>
          <w:tcPr>
            <w:tcW w:w="1134" w:type="dxa"/>
            <w:tcBorders>
              <w:top w:val="nil"/>
              <w:left w:val="nil"/>
              <w:bottom w:val="single" w:sz="8" w:space="0" w:color="E26B0A"/>
              <w:right w:val="single" w:sz="8" w:space="0" w:color="E26B0A"/>
            </w:tcBorders>
            <w:shd w:val="clear" w:color="000000" w:fill="F2DCDB"/>
            <w:hideMark/>
          </w:tcPr>
          <w:p w14:paraId="152EC224" w14:textId="77777777" w:rsidR="00523AD2" w:rsidRPr="00523AD2" w:rsidRDefault="00523AD2" w:rsidP="00523AD2">
            <w:pPr>
              <w:jc w:val="center"/>
              <w:rPr>
                <w:rFonts w:eastAsia="Times New Roman" w:cs="Calibri"/>
                <w:b/>
                <w:bCs/>
                <w:sz w:val="20"/>
                <w:szCs w:val="20"/>
                <w:lang w:val="en-US"/>
              </w:rPr>
            </w:pPr>
            <w:r w:rsidRPr="00523AD2">
              <w:rPr>
                <w:rFonts w:eastAsia="Times New Roman" w:cs="Calibri"/>
                <w:b/>
                <w:bCs/>
                <w:sz w:val="20"/>
                <w:szCs w:val="20"/>
                <w:lang w:val="en-US"/>
              </w:rPr>
              <w:t>100%</w:t>
            </w:r>
          </w:p>
        </w:tc>
        <w:tc>
          <w:tcPr>
            <w:tcW w:w="1134" w:type="dxa"/>
            <w:tcBorders>
              <w:top w:val="nil"/>
              <w:left w:val="nil"/>
              <w:bottom w:val="single" w:sz="8" w:space="0" w:color="E26B0A"/>
              <w:right w:val="single" w:sz="8" w:space="0" w:color="E26B0A"/>
            </w:tcBorders>
            <w:shd w:val="clear" w:color="000000" w:fill="F2DCDB"/>
            <w:hideMark/>
          </w:tcPr>
          <w:p w14:paraId="3DDA9986" w14:textId="77777777" w:rsidR="00523AD2" w:rsidRPr="00523AD2" w:rsidRDefault="00523AD2" w:rsidP="00523AD2">
            <w:pPr>
              <w:jc w:val="center"/>
              <w:rPr>
                <w:rFonts w:eastAsia="Times New Roman" w:cs="Calibri"/>
                <w:b/>
                <w:bCs/>
                <w:sz w:val="20"/>
                <w:szCs w:val="20"/>
                <w:lang w:val="en-US"/>
              </w:rPr>
            </w:pPr>
            <w:r w:rsidRPr="00523AD2">
              <w:rPr>
                <w:rFonts w:eastAsia="Times New Roman" w:cs="Calibri"/>
                <w:b/>
                <w:bCs/>
                <w:sz w:val="20"/>
                <w:szCs w:val="20"/>
                <w:lang w:val="en-US"/>
              </w:rPr>
              <w:t>100%</w:t>
            </w:r>
          </w:p>
        </w:tc>
        <w:tc>
          <w:tcPr>
            <w:tcW w:w="1701" w:type="dxa"/>
            <w:tcBorders>
              <w:top w:val="nil"/>
              <w:left w:val="nil"/>
              <w:bottom w:val="single" w:sz="8" w:space="0" w:color="E26B0A"/>
              <w:right w:val="single" w:sz="8" w:space="0" w:color="E26B0A"/>
            </w:tcBorders>
            <w:shd w:val="clear" w:color="000000" w:fill="F2DCDB"/>
            <w:hideMark/>
          </w:tcPr>
          <w:p w14:paraId="0640773C" w14:textId="77777777" w:rsidR="00523AD2" w:rsidRPr="00523AD2" w:rsidRDefault="00523AD2" w:rsidP="00523AD2">
            <w:pPr>
              <w:jc w:val="both"/>
              <w:rPr>
                <w:rFonts w:eastAsia="Times New Roman" w:cs="Calibri"/>
                <w:sz w:val="20"/>
                <w:szCs w:val="20"/>
                <w:lang w:val="en-US"/>
              </w:rPr>
            </w:pPr>
            <w:r w:rsidRPr="00523AD2">
              <w:rPr>
                <w:rFonts w:eastAsia="Times New Roman" w:cs="Calibri"/>
                <w:sz w:val="20"/>
                <w:szCs w:val="20"/>
                <w:lang w:val="en-US"/>
              </w:rPr>
              <w:t> </w:t>
            </w:r>
          </w:p>
        </w:tc>
      </w:tr>
    </w:tbl>
    <w:p w14:paraId="57819AD7" w14:textId="221E0D63" w:rsidR="00523AD2" w:rsidRDefault="00523AD2" w:rsidP="004A0CAD">
      <w:pPr>
        <w:pStyle w:val="BodyText"/>
        <w:jc w:val="both"/>
        <w:rPr>
          <w:rFonts w:ascii="Calibri" w:hAnsi="Calibri" w:cs="Calibri"/>
          <w:color w:val="FF0000"/>
          <w:sz w:val="22"/>
          <w:szCs w:val="22"/>
        </w:rPr>
      </w:pPr>
    </w:p>
    <w:p w14:paraId="0A29C1C7" w14:textId="4426F0AB" w:rsidR="009A475F" w:rsidRDefault="007B0CDF" w:rsidP="004A0CAD">
      <w:pPr>
        <w:pStyle w:val="BodyText"/>
        <w:jc w:val="both"/>
        <w:rPr>
          <w:rFonts w:ascii="Calibri" w:hAnsi="Calibri" w:cs="Calibri"/>
          <w:sz w:val="22"/>
          <w:szCs w:val="22"/>
        </w:rPr>
      </w:pPr>
      <w:r>
        <w:rPr>
          <w:rFonts w:ascii="Calibri" w:hAnsi="Calibri" w:cs="Calibri"/>
          <w:sz w:val="22"/>
          <w:szCs w:val="22"/>
        </w:rPr>
        <w:t>Видно от таблицата о</w:t>
      </w:r>
      <w:r w:rsidRPr="00986B2F">
        <w:rPr>
          <w:rFonts w:ascii="Calibri" w:hAnsi="Calibri" w:cs="Calibri"/>
          <w:sz w:val="22"/>
          <w:szCs w:val="22"/>
        </w:rPr>
        <w:t>сновни</w:t>
      </w:r>
      <w:r>
        <w:rPr>
          <w:rFonts w:ascii="Calibri" w:hAnsi="Calibri" w:cs="Calibri"/>
          <w:sz w:val="22"/>
          <w:szCs w:val="22"/>
        </w:rPr>
        <w:t>те</w:t>
      </w:r>
      <w:r w:rsidRPr="00986B2F">
        <w:rPr>
          <w:rFonts w:ascii="Calibri" w:hAnsi="Calibri" w:cs="Calibri"/>
          <w:sz w:val="22"/>
          <w:szCs w:val="22"/>
        </w:rPr>
        <w:t xml:space="preserve"> </w:t>
      </w:r>
      <w:r>
        <w:rPr>
          <w:rFonts w:ascii="Calibri" w:hAnsi="Calibri" w:cs="Calibri"/>
          <w:sz w:val="22"/>
          <w:szCs w:val="22"/>
        </w:rPr>
        <w:t>доставчици</w:t>
      </w:r>
      <w:r w:rsidRPr="00986B2F">
        <w:rPr>
          <w:rFonts w:ascii="Calibri" w:hAnsi="Calibri" w:cs="Calibri"/>
          <w:sz w:val="22"/>
          <w:szCs w:val="22"/>
        </w:rPr>
        <w:t xml:space="preserve"> на </w:t>
      </w:r>
      <w:r w:rsidR="003C0C35" w:rsidRPr="00986B2F">
        <w:rPr>
          <w:rFonts w:ascii="Calibri" w:hAnsi="Calibri" w:cs="Calibri"/>
          <w:sz w:val="22"/>
          <w:szCs w:val="22"/>
        </w:rPr>
        <w:t>“</w:t>
      </w:r>
      <w:r w:rsidR="003C0C35">
        <w:rPr>
          <w:rFonts w:ascii="Calibri" w:hAnsi="Calibri" w:cs="Calibri"/>
          <w:sz w:val="22"/>
          <w:szCs w:val="22"/>
        </w:rPr>
        <w:t>ДКЦ Чайка ” ЕООД</w:t>
      </w:r>
      <w:r>
        <w:rPr>
          <w:rFonts w:ascii="Calibri" w:hAnsi="Calibri" w:cs="Calibri"/>
          <w:sz w:val="22"/>
          <w:szCs w:val="22"/>
        </w:rPr>
        <w:t>, чийто относителен дял надхърля 10% от разходите за суровини</w:t>
      </w:r>
      <w:r w:rsidR="009539A7">
        <w:rPr>
          <w:rFonts w:ascii="Calibri" w:hAnsi="Calibri" w:cs="Calibri"/>
          <w:sz w:val="22"/>
          <w:szCs w:val="22"/>
        </w:rPr>
        <w:t>,</w:t>
      </w:r>
      <w:r>
        <w:rPr>
          <w:rFonts w:ascii="Calibri" w:hAnsi="Calibri" w:cs="Calibri"/>
          <w:sz w:val="22"/>
          <w:szCs w:val="22"/>
        </w:rPr>
        <w:t xml:space="preserve"> материали</w:t>
      </w:r>
      <w:r w:rsidR="000B4755">
        <w:rPr>
          <w:rFonts w:ascii="Calibri" w:hAnsi="Calibri" w:cs="Calibri"/>
          <w:sz w:val="22"/>
          <w:szCs w:val="22"/>
        </w:rPr>
        <w:t xml:space="preserve"> и външни услуги</w:t>
      </w:r>
      <w:r>
        <w:rPr>
          <w:rFonts w:ascii="Calibri" w:hAnsi="Calibri" w:cs="Calibri"/>
          <w:sz w:val="22"/>
          <w:szCs w:val="22"/>
        </w:rPr>
        <w:t xml:space="preserve"> </w:t>
      </w:r>
      <w:r w:rsidR="004A0CAD" w:rsidRPr="0074615C">
        <w:rPr>
          <w:rFonts w:ascii="Calibri" w:hAnsi="Calibri" w:cs="Calibri"/>
          <w:b/>
          <w:sz w:val="22"/>
          <w:szCs w:val="22"/>
        </w:rPr>
        <w:t>(съгл. т.2 от Приложение</w:t>
      </w:r>
      <w:r w:rsidR="00965ADD">
        <w:rPr>
          <w:rFonts w:ascii="Calibri" w:hAnsi="Calibri" w:cs="Calibri"/>
          <w:b/>
          <w:sz w:val="22"/>
          <w:szCs w:val="22"/>
        </w:rPr>
        <w:t xml:space="preserve"> № </w:t>
      </w:r>
      <w:r w:rsidR="00E7012F">
        <w:rPr>
          <w:rFonts w:ascii="Calibri" w:hAnsi="Calibri" w:cs="Calibri"/>
          <w:b/>
          <w:sz w:val="22"/>
          <w:szCs w:val="22"/>
        </w:rPr>
        <w:t>2</w:t>
      </w:r>
      <w:r w:rsidR="004A0CAD" w:rsidRPr="0074615C">
        <w:rPr>
          <w:rFonts w:ascii="Calibri" w:hAnsi="Calibri" w:cs="Calibri"/>
          <w:b/>
          <w:sz w:val="22"/>
          <w:szCs w:val="22"/>
        </w:rPr>
        <w:t>)</w:t>
      </w:r>
      <w:r w:rsidR="004A0CAD">
        <w:rPr>
          <w:rFonts w:ascii="Calibri" w:hAnsi="Calibri" w:cs="Calibri"/>
          <w:sz w:val="22"/>
          <w:szCs w:val="22"/>
        </w:rPr>
        <w:t xml:space="preserve"> </w:t>
      </w:r>
      <w:r>
        <w:rPr>
          <w:rFonts w:ascii="Calibri" w:hAnsi="Calibri" w:cs="Calibri"/>
          <w:sz w:val="22"/>
          <w:szCs w:val="22"/>
        </w:rPr>
        <w:t>както следва:</w:t>
      </w:r>
    </w:p>
    <w:tbl>
      <w:tblPr>
        <w:tblW w:w="9062" w:type="dxa"/>
        <w:tblLook w:val="04A0" w:firstRow="1" w:lastRow="0" w:firstColumn="1" w:lastColumn="0" w:noHBand="0" w:noVBand="1"/>
      </w:tblPr>
      <w:tblGrid>
        <w:gridCol w:w="1973"/>
        <w:gridCol w:w="1406"/>
        <w:gridCol w:w="1505"/>
        <w:gridCol w:w="2619"/>
        <w:gridCol w:w="1559"/>
      </w:tblGrid>
      <w:tr w:rsidR="00523AD2" w:rsidRPr="00523AD2" w14:paraId="373AC350" w14:textId="77777777" w:rsidTr="009A475F">
        <w:trPr>
          <w:trHeight w:val="600"/>
        </w:trPr>
        <w:tc>
          <w:tcPr>
            <w:tcW w:w="9062" w:type="dxa"/>
            <w:gridSpan w:val="5"/>
            <w:tcBorders>
              <w:top w:val="single" w:sz="8" w:space="0" w:color="E26B0A"/>
              <w:left w:val="single" w:sz="8" w:space="0" w:color="E26B0A"/>
              <w:bottom w:val="single" w:sz="8" w:space="0" w:color="E26B0A"/>
              <w:right w:val="single" w:sz="8" w:space="0" w:color="E26B0A"/>
            </w:tcBorders>
            <w:shd w:val="clear" w:color="000000" w:fill="E26B0A"/>
            <w:vAlign w:val="center"/>
            <w:hideMark/>
          </w:tcPr>
          <w:p w14:paraId="4DCFC80F" w14:textId="77777777" w:rsidR="00523AD2" w:rsidRPr="00523AD2" w:rsidRDefault="00523AD2" w:rsidP="00523AD2">
            <w:pPr>
              <w:jc w:val="center"/>
              <w:rPr>
                <w:rFonts w:eastAsia="Times New Roman" w:cs="Calibri"/>
                <w:b/>
                <w:bCs/>
                <w:color w:val="FFFFFF"/>
                <w:sz w:val="20"/>
                <w:szCs w:val="20"/>
                <w:lang w:val="en-US"/>
              </w:rPr>
            </w:pPr>
            <w:r w:rsidRPr="00523AD2">
              <w:rPr>
                <w:rFonts w:eastAsia="Times New Roman" w:cs="Calibri"/>
                <w:b/>
                <w:bCs/>
                <w:color w:val="FFFFFF"/>
                <w:sz w:val="20"/>
                <w:szCs w:val="20"/>
                <w:lang w:val="en-US"/>
              </w:rPr>
              <w:t>Основни доставчици на "ДКЦ  Чайка"  ЕООД с относителен дял над 10% от покупките/разходите</w:t>
            </w:r>
          </w:p>
        </w:tc>
      </w:tr>
      <w:tr w:rsidR="00523AD2" w:rsidRPr="00523AD2" w14:paraId="2C440C63" w14:textId="77777777" w:rsidTr="009A475F">
        <w:trPr>
          <w:trHeight w:val="1050"/>
        </w:trPr>
        <w:tc>
          <w:tcPr>
            <w:tcW w:w="1973" w:type="dxa"/>
            <w:tcBorders>
              <w:top w:val="nil"/>
              <w:left w:val="single" w:sz="8" w:space="0" w:color="E26B0A"/>
              <w:bottom w:val="single" w:sz="8" w:space="0" w:color="E26B0A"/>
              <w:right w:val="single" w:sz="8" w:space="0" w:color="E26B0A"/>
            </w:tcBorders>
            <w:shd w:val="clear" w:color="000000" w:fill="FABF8F"/>
            <w:noWrap/>
            <w:vAlign w:val="center"/>
            <w:hideMark/>
          </w:tcPr>
          <w:p w14:paraId="6463A210" w14:textId="77777777" w:rsidR="00523AD2" w:rsidRPr="00523AD2" w:rsidRDefault="00523AD2" w:rsidP="00523AD2">
            <w:pPr>
              <w:jc w:val="center"/>
              <w:rPr>
                <w:rFonts w:eastAsia="Times New Roman" w:cs="Calibri"/>
                <w:b/>
                <w:bCs/>
                <w:sz w:val="20"/>
                <w:szCs w:val="20"/>
                <w:lang w:val="en-US"/>
              </w:rPr>
            </w:pPr>
            <w:r w:rsidRPr="00523AD2">
              <w:rPr>
                <w:rFonts w:eastAsia="Times New Roman" w:cs="Calibri"/>
                <w:b/>
                <w:bCs/>
                <w:sz w:val="20"/>
                <w:szCs w:val="20"/>
                <w:lang w:val="en-US"/>
              </w:rPr>
              <w:t>Наименование</w:t>
            </w:r>
          </w:p>
        </w:tc>
        <w:tc>
          <w:tcPr>
            <w:tcW w:w="1406" w:type="dxa"/>
            <w:tcBorders>
              <w:top w:val="nil"/>
              <w:left w:val="nil"/>
              <w:bottom w:val="single" w:sz="8" w:space="0" w:color="E26B0A"/>
              <w:right w:val="single" w:sz="8" w:space="0" w:color="E26B0A"/>
            </w:tcBorders>
            <w:shd w:val="clear" w:color="000000" w:fill="FABF8F"/>
            <w:vAlign w:val="center"/>
            <w:hideMark/>
          </w:tcPr>
          <w:p w14:paraId="5D4D1D06" w14:textId="77777777" w:rsidR="00523AD2" w:rsidRPr="00523AD2" w:rsidRDefault="00523AD2" w:rsidP="00523AD2">
            <w:pPr>
              <w:jc w:val="center"/>
              <w:rPr>
                <w:rFonts w:eastAsia="Times New Roman" w:cs="Calibri"/>
                <w:b/>
                <w:bCs/>
                <w:sz w:val="20"/>
                <w:szCs w:val="20"/>
                <w:lang w:val="en-US"/>
              </w:rPr>
            </w:pPr>
            <w:r w:rsidRPr="00523AD2">
              <w:rPr>
                <w:rFonts w:eastAsia="Times New Roman" w:cs="Calibri"/>
                <w:b/>
                <w:bCs/>
                <w:sz w:val="20"/>
                <w:szCs w:val="20"/>
                <w:lang w:val="en-US"/>
              </w:rPr>
              <w:t>относителен дял %</w:t>
            </w:r>
          </w:p>
        </w:tc>
        <w:tc>
          <w:tcPr>
            <w:tcW w:w="1505" w:type="dxa"/>
            <w:tcBorders>
              <w:top w:val="nil"/>
              <w:left w:val="nil"/>
              <w:bottom w:val="single" w:sz="8" w:space="0" w:color="E26B0A"/>
              <w:right w:val="single" w:sz="8" w:space="0" w:color="E26B0A"/>
            </w:tcBorders>
            <w:shd w:val="clear" w:color="000000" w:fill="FABF8F"/>
            <w:vAlign w:val="center"/>
            <w:hideMark/>
          </w:tcPr>
          <w:p w14:paraId="725F4784" w14:textId="77777777" w:rsidR="00523AD2" w:rsidRPr="00523AD2" w:rsidRDefault="00523AD2" w:rsidP="00523AD2">
            <w:pPr>
              <w:jc w:val="center"/>
              <w:rPr>
                <w:rFonts w:eastAsia="Times New Roman" w:cs="Calibri"/>
                <w:b/>
                <w:bCs/>
                <w:sz w:val="20"/>
                <w:szCs w:val="20"/>
                <w:lang w:val="en-US"/>
              </w:rPr>
            </w:pPr>
            <w:r w:rsidRPr="00523AD2">
              <w:rPr>
                <w:rFonts w:eastAsia="Times New Roman" w:cs="Calibri"/>
                <w:b/>
                <w:bCs/>
                <w:sz w:val="20"/>
                <w:szCs w:val="20"/>
                <w:lang w:val="en-US"/>
              </w:rPr>
              <w:t>ЕИК</w:t>
            </w:r>
          </w:p>
        </w:tc>
        <w:tc>
          <w:tcPr>
            <w:tcW w:w="2619" w:type="dxa"/>
            <w:tcBorders>
              <w:top w:val="nil"/>
              <w:left w:val="nil"/>
              <w:bottom w:val="single" w:sz="8" w:space="0" w:color="E26B0A"/>
              <w:right w:val="single" w:sz="8" w:space="0" w:color="E26B0A"/>
            </w:tcBorders>
            <w:shd w:val="clear" w:color="000000" w:fill="FABF8F"/>
            <w:vAlign w:val="center"/>
            <w:hideMark/>
          </w:tcPr>
          <w:p w14:paraId="4C479913" w14:textId="77777777" w:rsidR="00523AD2" w:rsidRPr="00523AD2" w:rsidRDefault="00523AD2" w:rsidP="00523AD2">
            <w:pPr>
              <w:jc w:val="center"/>
              <w:rPr>
                <w:rFonts w:eastAsia="Times New Roman" w:cs="Calibri"/>
                <w:b/>
                <w:bCs/>
                <w:sz w:val="20"/>
                <w:szCs w:val="20"/>
                <w:lang w:val="en-US"/>
              </w:rPr>
            </w:pPr>
            <w:r w:rsidRPr="00523AD2">
              <w:rPr>
                <w:rFonts w:eastAsia="Times New Roman" w:cs="Calibri"/>
                <w:b/>
                <w:bCs/>
                <w:sz w:val="20"/>
                <w:szCs w:val="20"/>
                <w:lang w:val="en-US"/>
              </w:rPr>
              <w:t>седалище и адрес на управление</w:t>
            </w:r>
          </w:p>
        </w:tc>
        <w:tc>
          <w:tcPr>
            <w:tcW w:w="1559" w:type="dxa"/>
            <w:tcBorders>
              <w:top w:val="nil"/>
              <w:left w:val="nil"/>
              <w:bottom w:val="single" w:sz="8" w:space="0" w:color="E26B0A"/>
              <w:right w:val="single" w:sz="8" w:space="0" w:color="E26B0A"/>
            </w:tcBorders>
            <w:shd w:val="clear" w:color="000000" w:fill="FABF8F"/>
            <w:hideMark/>
          </w:tcPr>
          <w:p w14:paraId="71C84D22" w14:textId="77777777" w:rsidR="00523AD2" w:rsidRPr="00523AD2" w:rsidRDefault="00523AD2" w:rsidP="00523AD2">
            <w:pPr>
              <w:jc w:val="center"/>
              <w:rPr>
                <w:rFonts w:eastAsia="Times New Roman" w:cs="Calibri"/>
                <w:b/>
                <w:bCs/>
                <w:sz w:val="20"/>
                <w:szCs w:val="20"/>
                <w:lang w:val="en-US"/>
              </w:rPr>
            </w:pPr>
            <w:r w:rsidRPr="00523AD2">
              <w:rPr>
                <w:rFonts w:eastAsia="Times New Roman" w:cs="Calibri"/>
                <w:b/>
                <w:bCs/>
                <w:sz w:val="20"/>
                <w:szCs w:val="20"/>
                <w:lang w:val="en-US"/>
              </w:rPr>
              <w:t>връзка / взаимоотно-шения с дружеството</w:t>
            </w:r>
          </w:p>
        </w:tc>
      </w:tr>
      <w:tr w:rsidR="00523AD2" w:rsidRPr="00523AD2" w14:paraId="66002407" w14:textId="77777777" w:rsidTr="009A475F">
        <w:trPr>
          <w:trHeight w:val="437"/>
        </w:trPr>
        <w:tc>
          <w:tcPr>
            <w:tcW w:w="1973" w:type="dxa"/>
            <w:tcBorders>
              <w:top w:val="nil"/>
              <w:left w:val="single" w:sz="8" w:space="0" w:color="E26B0A"/>
              <w:bottom w:val="single" w:sz="8" w:space="0" w:color="E26B0A"/>
              <w:right w:val="single" w:sz="8" w:space="0" w:color="E26B0A"/>
            </w:tcBorders>
            <w:shd w:val="clear" w:color="000000" w:fill="FDE9D9"/>
            <w:noWrap/>
            <w:vAlign w:val="bottom"/>
            <w:hideMark/>
          </w:tcPr>
          <w:p w14:paraId="499BEF55" w14:textId="77777777" w:rsidR="00523AD2" w:rsidRPr="00523AD2" w:rsidRDefault="00523AD2" w:rsidP="00523AD2">
            <w:pPr>
              <w:jc w:val="center"/>
              <w:rPr>
                <w:rFonts w:eastAsia="Times New Roman" w:cs="Calibri"/>
                <w:sz w:val="20"/>
                <w:szCs w:val="20"/>
                <w:lang w:val="en-US"/>
              </w:rPr>
            </w:pPr>
            <w:r w:rsidRPr="00523AD2">
              <w:rPr>
                <w:rFonts w:eastAsia="Times New Roman" w:cs="Calibri"/>
                <w:sz w:val="20"/>
                <w:szCs w:val="20"/>
                <w:lang w:val="en-US"/>
              </w:rPr>
              <w:t>Мост енерджи АД</w:t>
            </w:r>
          </w:p>
        </w:tc>
        <w:tc>
          <w:tcPr>
            <w:tcW w:w="1406" w:type="dxa"/>
            <w:tcBorders>
              <w:top w:val="nil"/>
              <w:left w:val="nil"/>
              <w:bottom w:val="single" w:sz="8" w:space="0" w:color="E26B0A"/>
              <w:right w:val="single" w:sz="8" w:space="0" w:color="E26B0A"/>
            </w:tcBorders>
            <w:shd w:val="clear" w:color="000000" w:fill="FDE9D9"/>
            <w:noWrap/>
            <w:vAlign w:val="center"/>
            <w:hideMark/>
          </w:tcPr>
          <w:p w14:paraId="7E3960A6" w14:textId="77777777" w:rsidR="00523AD2" w:rsidRPr="00523AD2" w:rsidRDefault="00523AD2" w:rsidP="00523AD2">
            <w:pPr>
              <w:jc w:val="right"/>
              <w:rPr>
                <w:rFonts w:eastAsia="Times New Roman" w:cs="Calibri"/>
                <w:sz w:val="20"/>
                <w:szCs w:val="20"/>
                <w:lang w:val="en-US"/>
              </w:rPr>
            </w:pPr>
            <w:r w:rsidRPr="00523AD2">
              <w:rPr>
                <w:rFonts w:eastAsia="Times New Roman" w:cs="Calibri"/>
                <w:sz w:val="20"/>
                <w:szCs w:val="20"/>
                <w:lang w:val="en-US"/>
              </w:rPr>
              <w:t>19,630</w:t>
            </w:r>
          </w:p>
        </w:tc>
        <w:tc>
          <w:tcPr>
            <w:tcW w:w="1505" w:type="dxa"/>
            <w:tcBorders>
              <w:top w:val="nil"/>
              <w:left w:val="nil"/>
              <w:bottom w:val="single" w:sz="8" w:space="0" w:color="E26B0A"/>
              <w:right w:val="single" w:sz="8" w:space="0" w:color="E26B0A"/>
            </w:tcBorders>
            <w:shd w:val="clear" w:color="000000" w:fill="FDE9D9"/>
            <w:vAlign w:val="center"/>
            <w:hideMark/>
          </w:tcPr>
          <w:p w14:paraId="7A3DB929" w14:textId="77777777" w:rsidR="00523AD2" w:rsidRPr="00523AD2" w:rsidRDefault="00523AD2" w:rsidP="00523AD2">
            <w:pPr>
              <w:jc w:val="center"/>
              <w:rPr>
                <w:rFonts w:eastAsia="Times New Roman" w:cs="Calibri"/>
                <w:sz w:val="20"/>
                <w:szCs w:val="20"/>
                <w:lang w:val="en-US"/>
              </w:rPr>
            </w:pPr>
            <w:r w:rsidRPr="00523AD2">
              <w:rPr>
                <w:rFonts w:eastAsia="Times New Roman" w:cs="Calibri"/>
                <w:sz w:val="20"/>
                <w:szCs w:val="20"/>
                <w:lang w:val="en-US"/>
              </w:rPr>
              <w:t>200275354</w:t>
            </w:r>
          </w:p>
        </w:tc>
        <w:tc>
          <w:tcPr>
            <w:tcW w:w="2619" w:type="dxa"/>
            <w:tcBorders>
              <w:top w:val="nil"/>
              <w:left w:val="nil"/>
              <w:bottom w:val="single" w:sz="8" w:space="0" w:color="E26B0A"/>
              <w:right w:val="single" w:sz="8" w:space="0" w:color="E26B0A"/>
            </w:tcBorders>
            <w:shd w:val="clear" w:color="000000" w:fill="FDE9D9"/>
            <w:vAlign w:val="center"/>
            <w:hideMark/>
          </w:tcPr>
          <w:p w14:paraId="2CF559A6" w14:textId="77777777" w:rsidR="00523AD2" w:rsidRPr="00523AD2" w:rsidRDefault="00523AD2" w:rsidP="00523AD2">
            <w:pPr>
              <w:jc w:val="center"/>
              <w:rPr>
                <w:rFonts w:eastAsia="Times New Roman" w:cs="Calibri"/>
                <w:sz w:val="20"/>
                <w:szCs w:val="20"/>
                <w:lang w:val="en-US"/>
              </w:rPr>
            </w:pPr>
            <w:r w:rsidRPr="00523AD2">
              <w:rPr>
                <w:rFonts w:eastAsia="Times New Roman" w:cs="Calibri"/>
                <w:sz w:val="20"/>
                <w:szCs w:val="20"/>
                <w:lang w:val="en-US"/>
              </w:rPr>
              <w:t>гр.Бургас, ж.к Лазур, бл.68</w:t>
            </w:r>
          </w:p>
        </w:tc>
        <w:tc>
          <w:tcPr>
            <w:tcW w:w="1559" w:type="dxa"/>
            <w:tcBorders>
              <w:top w:val="nil"/>
              <w:left w:val="nil"/>
              <w:bottom w:val="single" w:sz="8" w:space="0" w:color="E26B0A"/>
              <w:right w:val="single" w:sz="8" w:space="0" w:color="E26B0A"/>
            </w:tcBorders>
            <w:shd w:val="clear" w:color="000000" w:fill="FDE9D9"/>
            <w:vAlign w:val="center"/>
            <w:hideMark/>
          </w:tcPr>
          <w:p w14:paraId="5B7D039A" w14:textId="77777777" w:rsidR="00523AD2" w:rsidRPr="00523AD2" w:rsidRDefault="00523AD2" w:rsidP="00523AD2">
            <w:pPr>
              <w:jc w:val="center"/>
              <w:rPr>
                <w:rFonts w:eastAsia="Times New Roman" w:cs="Calibri"/>
                <w:sz w:val="20"/>
                <w:szCs w:val="20"/>
                <w:lang w:val="en-US"/>
              </w:rPr>
            </w:pPr>
            <w:r w:rsidRPr="00523AD2">
              <w:rPr>
                <w:rFonts w:eastAsia="Times New Roman" w:cs="Calibri"/>
                <w:sz w:val="20"/>
                <w:szCs w:val="20"/>
                <w:lang w:val="en-US"/>
              </w:rPr>
              <w:t>Договор</w:t>
            </w:r>
          </w:p>
        </w:tc>
      </w:tr>
      <w:tr w:rsidR="00523AD2" w:rsidRPr="00523AD2" w14:paraId="4AF0D048" w14:textId="77777777" w:rsidTr="009A475F">
        <w:trPr>
          <w:trHeight w:val="437"/>
        </w:trPr>
        <w:tc>
          <w:tcPr>
            <w:tcW w:w="1973" w:type="dxa"/>
            <w:tcBorders>
              <w:top w:val="nil"/>
              <w:left w:val="single" w:sz="8" w:space="0" w:color="E26B0A"/>
              <w:bottom w:val="single" w:sz="8" w:space="0" w:color="E26B0A"/>
              <w:right w:val="single" w:sz="8" w:space="0" w:color="E26B0A"/>
            </w:tcBorders>
            <w:shd w:val="clear" w:color="000000" w:fill="FDE9D9"/>
            <w:noWrap/>
            <w:vAlign w:val="center"/>
            <w:hideMark/>
          </w:tcPr>
          <w:p w14:paraId="2E730EC4" w14:textId="77777777" w:rsidR="00523AD2" w:rsidRPr="00523AD2" w:rsidRDefault="00523AD2" w:rsidP="00523AD2">
            <w:pPr>
              <w:jc w:val="center"/>
              <w:rPr>
                <w:rFonts w:eastAsia="Times New Roman" w:cs="Calibri"/>
                <w:sz w:val="20"/>
                <w:szCs w:val="20"/>
                <w:lang w:val="en-US"/>
              </w:rPr>
            </w:pPr>
            <w:r w:rsidRPr="00523AD2">
              <w:rPr>
                <w:rFonts w:eastAsia="Times New Roman" w:cs="Calibri"/>
                <w:sz w:val="20"/>
                <w:szCs w:val="20"/>
                <w:lang w:val="en-US"/>
              </w:rPr>
              <w:t>Зонар ЕООД</w:t>
            </w:r>
          </w:p>
        </w:tc>
        <w:tc>
          <w:tcPr>
            <w:tcW w:w="1406" w:type="dxa"/>
            <w:tcBorders>
              <w:top w:val="nil"/>
              <w:left w:val="nil"/>
              <w:bottom w:val="single" w:sz="8" w:space="0" w:color="E26B0A"/>
              <w:right w:val="single" w:sz="8" w:space="0" w:color="E26B0A"/>
            </w:tcBorders>
            <w:shd w:val="clear" w:color="000000" w:fill="FDE9D9"/>
            <w:noWrap/>
            <w:vAlign w:val="bottom"/>
            <w:hideMark/>
          </w:tcPr>
          <w:p w14:paraId="0F0A301A" w14:textId="77777777" w:rsidR="00523AD2" w:rsidRPr="00523AD2" w:rsidRDefault="00523AD2" w:rsidP="00523AD2">
            <w:pPr>
              <w:jc w:val="right"/>
              <w:rPr>
                <w:rFonts w:eastAsia="Times New Roman" w:cs="Calibri"/>
                <w:sz w:val="20"/>
                <w:szCs w:val="20"/>
                <w:lang w:val="en-US"/>
              </w:rPr>
            </w:pPr>
            <w:r w:rsidRPr="00523AD2">
              <w:rPr>
                <w:rFonts w:eastAsia="Times New Roman" w:cs="Calibri"/>
                <w:sz w:val="20"/>
                <w:szCs w:val="20"/>
                <w:lang w:val="en-US"/>
              </w:rPr>
              <w:t>17,233</w:t>
            </w:r>
          </w:p>
        </w:tc>
        <w:tc>
          <w:tcPr>
            <w:tcW w:w="1505" w:type="dxa"/>
            <w:tcBorders>
              <w:top w:val="nil"/>
              <w:left w:val="nil"/>
              <w:bottom w:val="single" w:sz="8" w:space="0" w:color="E26B0A"/>
              <w:right w:val="single" w:sz="8" w:space="0" w:color="E26B0A"/>
            </w:tcBorders>
            <w:shd w:val="clear" w:color="000000" w:fill="FDE9D9"/>
            <w:noWrap/>
            <w:vAlign w:val="bottom"/>
            <w:hideMark/>
          </w:tcPr>
          <w:p w14:paraId="14E40015" w14:textId="77777777" w:rsidR="00523AD2" w:rsidRPr="00523AD2" w:rsidRDefault="00523AD2" w:rsidP="00523AD2">
            <w:pPr>
              <w:jc w:val="center"/>
              <w:rPr>
                <w:rFonts w:eastAsia="Times New Roman" w:cs="Calibri"/>
                <w:sz w:val="20"/>
                <w:szCs w:val="20"/>
                <w:lang w:val="en-US"/>
              </w:rPr>
            </w:pPr>
            <w:r w:rsidRPr="00523AD2">
              <w:rPr>
                <w:rFonts w:eastAsia="Times New Roman" w:cs="Calibri"/>
                <w:sz w:val="20"/>
                <w:szCs w:val="20"/>
                <w:lang w:val="en-US"/>
              </w:rPr>
              <w:t>130998890</w:t>
            </w:r>
          </w:p>
        </w:tc>
        <w:tc>
          <w:tcPr>
            <w:tcW w:w="2619" w:type="dxa"/>
            <w:tcBorders>
              <w:top w:val="nil"/>
              <w:left w:val="nil"/>
              <w:bottom w:val="single" w:sz="8" w:space="0" w:color="E26B0A"/>
              <w:right w:val="single" w:sz="8" w:space="0" w:color="E26B0A"/>
            </w:tcBorders>
            <w:shd w:val="clear" w:color="000000" w:fill="FDE9D9"/>
            <w:hideMark/>
          </w:tcPr>
          <w:p w14:paraId="09E3E6AC" w14:textId="77777777" w:rsidR="00523AD2" w:rsidRPr="00523AD2" w:rsidRDefault="00523AD2" w:rsidP="00523AD2">
            <w:pPr>
              <w:jc w:val="center"/>
              <w:rPr>
                <w:rFonts w:eastAsia="Times New Roman" w:cs="Calibri"/>
                <w:sz w:val="20"/>
                <w:szCs w:val="20"/>
                <w:lang w:val="en-US"/>
              </w:rPr>
            </w:pPr>
            <w:r w:rsidRPr="00523AD2">
              <w:rPr>
                <w:rFonts w:eastAsia="Times New Roman" w:cs="Calibri"/>
                <w:sz w:val="20"/>
                <w:szCs w:val="20"/>
                <w:lang w:val="en-US"/>
              </w:rPr>
              <w:t>гр.София , ж.к София парк, Сграда 16 Б, ет.2</w:t>
            </w:r>
          </w:p>
        </w:tc>
        <w:tc>
          <w:tcPr>
            <w:tcW w:w="1559" w:type="dxa"/>
            <w:tcBorders>
              <w:top w:val="nil"/>
              <w:left w:val="nil"/>
              <w:bottom w:val="single" w:sz="8" w:space="0" w:color="E26B0A"/>
              <w:right w:val="single" w:sz="8" w:space="0" w:color="E26B0A"/>
            </w:tcBorders>
            <w:shd w:val="clear" w:color="000000" w:fill="FDE9D9"/>
            <w:hideMark/>
          </w:tcPr>
          <w:p w14:paraId="0714FB14" w14:textId="77777777" w:rsidR="00523AD2" w:rsidRPr="00523AD2" w:rsidRDefault="00523AD2" w:rsidP="00523AD2">
            <w:pPr>
              <w:jc w:val="center"/>
              <w:rPr>
                <w:rFonts w:eastAsia="Times New Roman" w:cs="Calibri"/>
                <w:sz w:val="20"/>
                <w:szCs w:val="20"/>
                <w:lang w:val="en-US"/>
              </w:rPr>
            </w:pPr>
            <w:r w:rsidRPr="00523AD2">
              <w:rPr>
                <w:rFonts w:eastAsia="Times New Roman" w:cs="Calibri"/>
                <w:sz w:val="20"/>
                <w:szCs w:val="20"/>
                <w:lang w:val="en-US"/>
              </w:rPr>
              <w:t>Договор</w:t>
            </w:r>
          </w:p>
        </w:tc>
      </w:tr>
      <w:tr w:rsidR="00523AD2" w:rsidRPr="00523AD2" w14:paraId="5E9C4F8D" w14:textId="77777777" w:rsidTr="009A475F">
        <w:trPr>
          <w:trHeight w:val="501"/>
        </w:trPr>
        <w:tc>
          <w:tcPr>
            <w:tcW w:w="1973" w:type="dxa"/>
            <w:tcBorders>
              <w:top w:val="nil"/>
              <w:left w:val="single" w:sz="8" w:space="0" w:color="E26B0A"/>
              <w:bottom w:val="single" w:sz="8" w:space="0" w:color="E26B0A"/>
              <w:right w:val="single" w:sz="8" w:space="0" w:color="E26B0A"/>
            </w:tcBorders>
            <w:shd w:val="clear" w:color="000000" w:fill="FDE9D9"/>
            <w:noWrap/>
            <w:vAlign w:val="bottom"/>
            <w:hideMark/>
          </w:tcPr>
          <w:p w14:paraId="137345D5" w14:textId="77777777" w:rsidR="00523AD2" w:rsidRPr="00523AD2" w:rsidRDefault="00523AD2" w:rsidP="00523AD2">
            <w:pPr>
              <w:jc w:val="center"/>
              <w:rPr>
                <w:rFonts w:eastAsia="Times New Roman" w:cs="Calibri"/>
                <w:sz w:val="20"/>
                <w:szCs w:val="20"/>
                <w:lang w:val="en-US"/>
              </w:rPr>
            </w:pPr>
            <w:r w:rsidRPr="00523AD2">
              <w:rPr>
                <w:rFonts w:eastAsia="Times New Roman" w:cs="Calibri"/>
                <w:sz w:val="20"/>
                <w:szCs w:val="20"/>
                <w:lang w:val="en-US"/>
              </w:rPr>
              <w:t>Хроно ООД</w:t>
            </w:r>
          </w:p>
        </w:tc>
        <w:tc>
          <w:tcPr>
            <w:tcW w:w="1406" w:type="dxa"/>
            <w:tcBorders>
              <w:top w:val="nil"/>
              <w:left w:val="nil"/>
              <w:bottom w:val="single" w:sz="8" w:space="0" w:color="E26B0A"/>
              <w:right w:val="single" w:sz="8" w:space="0" w:color="E26B0A"/>
            </w:tcBorders>
            <w:shd w:val="clear" w:color="000000" w:fill="FDE9D9"/>
            <w:noWrap/>
            <w:vAlign w:val="bottom"/>
            <w:hideMark/>
          </w:tcPr>
          <w:p w14:paraId="484AB087" w14:textId="77777777" w:rsidR="00523AD2" w:rsidRPr="00523AD2" w:rsidRDefault="00523AD2" w:rsidP="00523AD2">
            <w:pPr>
              <w:jc w:val="right"/>
              <w:rPr>
                <w:rFonts w:eastAsia="Times New Roman" w:cs="Calibri"/>
                <w:sz w:val="20"/>
                <w:szCs w:val="20"/>
                <w:lang w:val="en-US"/>
              </w:rPr>
            </w:pPr>
            <w:r w:rsidRPr="00523AD2">
              <w:rPr>
                <w:rFonts w:eastAsia="Times New Roman" w:cs="Calibri"/>
                <w:sz w:val="20"/>
                <w:szCs w:val="20"/>
                <w:lang w:val="en-US"/>
              </w:rPr>
              <w:t>14,600</w:t>
            </w:r>
          </w:p>
        </w:tc>
        <w:tc>
          <w:tcPr>
            <w:tcW w:w="1505" w:type="dxa"/>
            <w:tcBorders>
              <w:top w:val="nil"/>
              <w:left w:val="nil"/>
              <w:bottom w:val="single" w:sz="8" w:space="0" w:color="E26B0A"/>
              <w:right w:val="single" w:sz="8" w:space="0" w:color="E26B0A"/>
            </w:tcBorders>
            <w:shd w:val="clear" w:color="000000" w:fill="FDE9D9"/>
            <w:noWrap/>
            <w:vAlign w:val="bottom"/>
            <w:hideMark/>
          </w:tcPr>
          <w:p w14:paraId="74631510" w14:textId="77777777" w:rsidR="00523AD2" w:rsidRPr="00523AD2" w:rsidRDefault="00523AD2" w:rsidP="00523AD2">
            <w:pPr>
              <w:jc w:val="center"/>
              <w:rPr>
                <w:rFonts w:eastAsia="Times New Roman" w:cs="Calibri"/>
                <w:sz w:val="20"/>
                <w:szCs w:val="20"/>
                <w:lang w:val="en-US"/>
              </w:rPr>
            </w:pPr>
            <w:r w:rsidRPr="00523AD2">
              <w:rPr>
                <w:rFonts w:eastAsia="Times New Roman" w:cs="Calibri"/>
                <w:sz w:val="20"/>
                <w:szCs w:val="20"/>
                <w:lang w:val="en-US"/>
              </w:rPr>
              <w:t>201325372</w:t>
            </w:r>
          </w:p>
        </w:tc>
        <w:tc>
          <w:tcPr>
            <w:tcW w:w="2619" w:type="dxa"/>
            <w:tcBorders>
              <w:top w:val="nil"/>
              <w:left w:val="nil"/>
              <w:bottom w:val="single" w:sz="8" w:space="0" w:color="E26B0A"/>
              <w:right w:val="single" w:sz="8" w:space="0" w:color="E26B0A"/>
            </w:tcBorders>
            <w:shd w:val="clear" w:color="000000" w:fill="FDE9D9"/>
            <w:hideMark/>
          </w:tcPr>
          <w:p w14:paraId="182C07D7" w14:textId="77777777" w:rsidR="00523AD2" w:rsidRPr="00523AD2" w:rsidRDefault="00523AD2" w:rsidP="00523AD2">
            <w:pPr>
              <w:jc w:val="center"/>
              <w:rPr>
                <w:rFonts w:eastAsia="Times New Roman" w:cs="Calibri"/>
                <w:sz w:val="20"/>
                <w:szCs w:val="20"/>
                <w:lang w:val="en-US"/>
              </w:rPr>
            </w:pPr>
            <w:r w:rsidRPr="00523AD2">
              <w:rPr>
                <w:rFonts w:eastAsia="Times New Roman" w:cs="Calibri"/>
                <w:sz w:val="20"/>
                <w:szCs w:val="20"/>
                <w:lang w:val="en-US"/>
              </w:rPr>
              <w:t>гр.София , бул.България 118</w:t>
            </w:r>
          </w:p>
        </w:tc>
        <w:tc>
          <w:tcPr>
            <w:tcW w:w="1559" w:type="dxa"/>
            <w:tcBorders>
              <w:top w:val="nil"/>
              <w:left w:val="nil"/>
              <w:bottom w:val="single" w:sz="8" w:space="0" w:color="E26B0A"/>
              <w:right w:val="single" w:sz="8" w:space="0" w:color="E26B0A"/>
            </w:tcBorders>
            <w:shd w:val="clear" w:color="000000" w:fill="FDE9D9"/>
            <w:hideMark/>
          </w:tcPr>
          <w:p w14:paraId="6C3594DA" w14:textId="77777777" w:rsidR="00523AD2" w:rsidRPr="00523AD2" w:rsidRDefault="00523AD2" w:rsidP="00523AD2">
            <w:pPr>
              <w:jc w:val="center"/>
              <w:rPr>
                <w:rFonts w:eastAsia="Times New Roman" w:cs="Calibri"/>
                <w:sz w:val="20"/>
                <w:szCs w:val="20"/>
                <w:lang w:val="en-US"/>
              </w:rPr>
            </w:pPr>
            <w:r w:rsidRPr="00523AD2">
              <w:rPr>
                <w:rFonts w:eastAsia="Times New Roman" w:cs="Calibri"/>
                <w:sz w:val="20"/>
                <w:szCs w:val="20"/>
                <w:lang w:val="en-US"/>
              </w:rPr>
              <w:t> </w:t>
            </w:r>
          </w:p>
        </w:tc>
      </w:tr>
    </w:tbl>
    <w:p w14:paraId="59F41DDA" w14:textId="052A195A" w:rsidR="00497CA0" w:rsidRDefault="00497CA0" w:rsidP="00497CA0">
      <w:pPr>
        <w:pStyle w:val="NoSpacing"/>
        <w:autoSpaceDE w:val="0"/>
        <w:autoSpaceDN w:val="0"/>
        <w:adjustRightInd w:val="0"/>
        <w:jc w:val="both"/>
        <w:rPr>
          <w:rFonts w:cs="Calibri"/>
          <w:b/>
          <w:bCs/>
          <w:color w:val="E36C0A"/>
          <w:sz w:val="24"/>
          <w:szCs w:val="24"/>
          <w:lang w:eastAsia="bg-BG"/>
          <w14:shadow w14:blurRad="50800" w14:dist="38100" w14:dir="2700000" w14:sx="100000" w14:sy="100000" w14:kx="0" w14:ky="0" w14:algn="tl">
            <w14:srgbClr w14:val="000000">
              <w14:alpha w14:val="60000"/>
            </w14:srgbClr>
          </w14:shadow>
        </w:rPr>
      </w:pPr>
    </w:p>
    <w:p w14:paraId="3B1B4D6A" w14:textId="2175AC6F" w:rsidR="00497CA0" w:rsidRDefault="00497CA0" w:rsidP="00497CA0">
      <w:pPr>
        <w:pStyle w:val="NoSpacing"/>
        <w:autoSpaceDE w:val="0"/>
        <w:autoSpaceDN w:val="0"/>
        <w:adjustRightInd w:val="0"/>
        <w:jc w:val="both"/>
        <w:rPr>
          <w:rFonts w:cs="Calibri"/>
          <w:b/>
          <w:bCs/>
          <w:color w:val="E36C0A"/>
          <w:sz w:val="24"/>
          <w:szCs w:val="24"/>
          <w:lang w:eastAsia="bg-BG"/>
          <w14:shadow w14:blurRad="50800" w14:dist="38100" w14:dir="2700000" w14:sx="100000" w14:sy="100000" w14:kx="0" w14:ky="0" w14:algn="tl">
            <w14:srgbClr w14:val="000000">
              <w14:alpha w14:val="60000"/>
            </w14:srgbClr>
          </w14:shadow>
        </w:rPr>
      </w:pPr>
    </w:p>
    <w:p w14:paraId="3A64D865" w14:textId="732131F9" w:rsidR="00497CA0" w:rsidRDefault="00497CA0" w:rsidP="00497CA0">
      <w:pPr>
        <w:pStyle w:val="NoSpacing"/>
        <w:autoSpaceDE w:val="0"/>
        <w:autoSpaceDN w:val="0"/>
        <w:adjustRightInd w:val="0"/>
        <w:jc w:val="both"/>
        <w:rPr>
          <w:rFonts w:cs="Calibri"/>
          <w:b/>
          <w:bCs/>
          <w:color w:val="E36C0A"/>
          <w:sz w:val="24"/>
          <w:szCs w:val="24"/>
          <w:lang w:eastAsia="bg-BG"/>
          <w14:shadow w14:blurRad="50800" w14:dist="38100" w14:dir="2700000" w14:sx="100000" w14:sy="100000" w14:kx="0" w14:ky="0" w14:algn="tl">
            <w14:srgbClr w14:val="000000">
              <w14:alpha w14:val="60000"/>
            </w14:srgbClr>
          </w14:shadow>
        </w:rPr>
      </w:pPr>
    </w:p>
    <w:p w14:paraId="5B86FFFD" w14:textId="77777777" w:rsidR="00593F4B" w:rsidRDefault="00593F4B" w:rsidP="00497CA0">
      <w:pPr>
        <w:pStyle w:val="NoSpacing"/>
        <w:autoSpaceDE w:val="0"/>
        <w:autoSpaceDN w:val="0"/>
        <w:adjustRightInd w:val="0"/>
        <w:jc w:val="both"/>
        <w:rPr>
          <w:rFonts w:cs="Calibri"/>
          <w:b/>
          <w:bCs/>
          <w:color w:val="E36C0A"/>
          <w:sz w:val="24"/>
          <w:szCs w:val="24"/>
          <w:lang w:eastAsia="bg-BG"/>
          <w14:shadow w14:blurRad="50800" w14:dist="38100" w14:dir="2700000" w14:sx="100000" w14:sy="100000" w14:kx="0" w14:ky="0" w14:algn="tl">
            <w14:srgbClr w14:val="000000">
              <w14:alpha w14:val="60000"/>
            </w14:srgbClr>
          </w14:shadow>
        </w:rPr>
      </w:pPr>
    </w:p>
    <w:p w14:paraId="27701335" w14:textId="4F466095" w:rsidR="001B0DDE" w:rsidRPr="00316233" w:rsidRDefault="001B0DDE" w:rsidP="002228B1">
      <w:pPr>
        <w:pStyle w:val="NoSpacing"/>
        <w:numPr>
          <w:ilvl w:val="0"/>
          <w:numId w:val="19"/>
        </w:numPr>
        <w:autoSpaceDE w:val="0"/>
        <w:autoSpaceDN w:val="0"/>
        <w:adjustRightInd w:val="0"/>
        <w:ind w:left="426" w:hanging="426"/>
        <w:jc w:val="both"/>
        <w:rPr>
          <w:rFonts w:cs="Calibri"/>
          <w:b/>
          <w:bCs/>
          <w:color w:val="E36C0A"/>
          <w:sz w:val="24"/>
          <w:szCs w:val="24"/>
          <w:lang w:eastAsia="bg-BG"/>
          <w14:shadow w14:blurRad="50800" w14:dist="38100" w14:dir="2700000" w14:sx="100000" w14:sy="100000" w14:kx="0" w14:ky="0" w14:algn="tl">
            <w14:srgbClr w14:val="000000">
              <w14:alpha w14:val="60000"/>
            </w14:srgbClr>
          </w14:shadow>
        </w:rPr>
      </w:pPr>
      <w:r w:rsidRPr="00316233">
        <w:rPr>
          <w:rFonts w:cs="Calibri"/>
          <w:b/>
          <w:bCs/>
          <w:color w:val="E36C0A"/>
          <w:sz w:val="24"/>
          <w:szCs w:val="24"/>
          <w:lang w:eastAsia="bg-BG"/>
          <w14:shadow w14:blurRad="50800" w14:dist="38100" w14:dir="2700000" w14:sx="100000" w14:sy="100000" w14:kx="0" w14:ky="0" w14:algn="tl">
            <w14:srgbClr w14:val="000000">
              <w14:alpha w14:val="60000"/>
            </w14:srgbClr>
          </w14:shadow>
        </w:rPr>
        <w:t>РИСКОВЕ, ПРЕД КОИТО Е ИЗПРАВЕНО ДРУЖЕСТВОТО</w:t>
      </w:r>
    </w:p>
    <w:p w14:paraId="119DAE46" w14:textId="77777777" w:rsidR="001B0DDE" w:rsidRPr="00FD3526" w:rsidRDefault="001B0DDE" w:rsidP="001B0DDE">
      <w:pPr>
        <w:pStyle w:val="BodyText"/>
        <w:rPr>
          <w:rFonts w:ascii="Calibri" w:hAnsi="Calibri"/>
          <w:sz w:val="22"/>
          <w:szCs w:val="22"/>
        </w:rPr>
      </w:pPr>
    </w:p>
    <w:p w14:paraId="69337AFC" w14:textId="77777777" w:rsidR="001B0DDE" w:rsidRPr="00FD3526" w:rsidRDefault="001B0DDE" w:rsidP="001B0DDE">
      <w:pPr>
        <w:pStyle w:val="BodyText"/>
        <w:jc w:val="both"/>
        <w:rPr>
          <w:rFonts w:ascii="Calibri" w:hAnsi="Calibri"/>
          <w:sz w:val="22"/>
          <w:szCs w:val="22"/>
        </w:rPr>
      </w:pPr>
      <w:r w:rsidRPr="00FD3526">
        <w:rPr>
          <w:rFonts w:ascii="Calibri" w:hAnsi="Calibri"/>
          <w:sz w:val="22"/>
          <w:szCs w:val="22"/>
        </w:rPr>
        <w:t xml:space="preserve">При осъществяване на дейността си </w:t>
      </w:r>
      <w:r w:rsidRPr="00986B2F">
        <w:rPr>
          <w:rFonts w:ascii="Calibri" w:hAnsi="Calibri" w:cs="Calibri"/>
          <w:sz w:val="22"/>
          <w:szCs w:val="22"/>
        </w:rPr>
        <w:t>“</w:t>
      </w:r>
      <w:r w:rsidR="008B3F82">
        <w:rPr>
          <w:rFonts w:ascii="Calibri" w:hAnsi="Calibri" w:cs="Calibri"/>
          <w:sz w:val="22"/>
          <w:szCs w:val="22"/>
        </w:rPr>
        <w:t>ДКЦ Чайка</w:t>
      </w:r>
      <w:r w:rsidRPr="00986B2F">
        <w:rPr>
          <w:rFonts w:ascii="Calibri" w:hAnsi="Calibri" w:cs="Calibri"/>
          <w:sz w:val="22"/>
          <w:szCs w:val="22"/>
        </w:rPr>
        <w:t xml:space="preserve">” </w:t>
      </w:r>
      <w:r w:rsidR="00C7650A">
        <w:rPr>
          <w:rFonts w:ascii="Calibri" w:hAnsi="Calibri" w:cs="Calibri"/>
          <w:sz w:val="22"/>
          <w:szCs w:val="22"/>
        </w:rPr>
        <w:t>Е</w:t>
      </w:r>
      <w:r w:rsidR="00FE1938">
        <w:rPr>
          <w:rFonts w:ascii="Calibri" w:hAnsi="Calibri" w:cs="Calibri"/>
          <w:sz w:val="22"/>
          <w:szCs w:val="22"/>
        </w:rPr>
        <w:t xml:space="preserve">ООД </w:t>
      </w:r>
      <w:r w:rsidRPr="00FD3526">
        <w:rPr>
          <w:rFonts w:ascii="Calibri" w:hAnsi="Calibri"/>
          <w:sz w:val="22"/>
          <w:szCs w:val="22"/>
        </w:rPr>
        <w:t>е изложено на определени рискове, които оказват въздействие върху неговите резултати.</w:t>
      </w:r>
    </w:p>
    <w:p w14:paraId="7702014A" w14:textId="77777777" w:rsidR="001B0DDE" w:rsidRPr="00FD3526" w:rsidRDefault="001B0DDE" w:rsidP="001B0DDE">
      <w:pPr>
        <w:pStyle w:val="BodyText"/>
        <w:jc w:val="both"/>
        <w:rPr>
          <w:rFonts w:ascii="Calibri" w:hAnsi="Calibri"/>
          <w:sz w:val="22"/>
          <w:szCs w:val="22"/>
        </w:rPr>
      </w:pPr>
    </w:p>
    <w:p w14:paraId="22F87BBB" w14:textId="77777777" w:rsidR="001B0DDE" w:rsidRPr="002228B1" w:rsidRDefault="001B0DDE" w:rsidP="002228B1">
      <w:pPr>
        <w:pStyle w:val="BodyText"/>
        <w:numPr>
          <w:ilvl w:val="0"/>
          <w:numId w:val="20"/>
        </w:numPr>
        <w:jc w:val="both"/>
        <w:rPr>
          <w:rFonts w:ascii="Calibri" w:hAnsi="Calibri"/>
          <w:b/>
          <w:color w:val="E36C0A"/>
          <w:sz w:val="22"/>
          <w:szCs w:val="22"/>
          <w:u w:val="single"/>
        </w:rPr>
      </w:pPr>
      <w:r w:rsidRPr="002228B1">
        <w:rPr>
          <w:rFonts w:ascii="Calibri" w:hAnsi="Calibri"/>
          <w:b/>
          <w:color w:val="E36C0A"/>
          <w:sz w:val="22"/>
          <w:szCs w:val="22"/>
          <w:u w:val="single"/>
        </w:rPr>
        <w:t>Систематични рискове:</w:t>
      </w:r>
    </w:p>
    <w:p w14:paraId="31AF748D" w14:textId="77777777" w:rsidR="001B0DDE" w:rsidRPr="00FD3526" w:rsidRDefault="001B0DDE" w:rsidP="001B0DDE">
      <w:pPr>
        <w:tabs>
          <w:tab w:val="left" w:pos="1680"/>
        </w:tabs>
        <w:jc w:val="both"/>
        <w:rPr>
          <w:b/>
        </w:rPr>
      </w:pPr>
      <w:r w:rsidRPr="00FD3526">
        <w:tab/>
      </w:r>
    </w:p>
    <w:p w14:paraId="331700DE" w14:textId="77777777" w:rsidR="001B0DDE" w:rsidRPr="002228B1" w:rsidRDefault="001B0DDE" w:rsidP="002228B1">
      <w:pPr>
        <w:numPr>
          <w:ilvl w:val="0"/>
          <w:numId w:val="22"/>
        </w:numPr>
        <w:tabs>
          <w:tab w:val="left" w:pos="426"/>
        </w:tabs>
        <w:ind w:hanging="4973"/>
        <w:jc w:val="both"/>
        <w:rPr>
          <w:b/>
          <w:color w:val="E36C0A"/>
        </w:rPr>
      </w:pPr>
      <w:r w:rsidRPr="002228B1">
        <w:rPr>
          <w:b/>
          <w:color w:val="E36C0A"/>
        </w:rPr>
        <w:lastRenderedPageBreak/>
        <w:t>Политически риск:</w:t>
      </w:r>
    </w:p>
    <w:p w14:paraId="14890E9B" w14:textId="77777777" w:rsidR="001B0DDE" w:rsidRPr="00FD3526" w:rsidRDefault="001B0DDE" w:rsidP="001B0DDE">
      <w:pPr>
        <w:jc w:val="both"/>
        <w:rPr>
          <w:b/>
        </w:rPr>
      </w:pPr>
    </w:p>
    <w:p w14:paraId="72D9F690" w14:textId="77777777" w:rsidR="00FA65F8" w:rsidRPr="00220F7B" w:rsidRDefault="00FA65F8" w:rsidP="00FA65F8">
      <w:pPr>
        <w:pStyle w:val="BodyTextIndent"/>
        <w:spacing w:after="0"/>
        <w:ind w:left="0"/>
        <w:jc w:val="both"/>
      </w:pPr>
      <w:r w:rsidRPr="00220F7B">
        <w:t>Политическият риск отразява влиянието на политическите процеси в страната, които от своя страна влияят върху възвръщаемостта на инвестициите. Определящ фактор за дейността на даден отрасъл и респективно дейността на фирмата е формулираната от правителството дългосрочна икономическа програма, както и волята да се осъществяват набелязаните приоритетни стъпки. Степента на политическия риск се асоциира с вероятността за промени в неблагоприятна посока на водената от правителството икономическа политика или в по-неблагоприятния случай - смяна на правителството и като следствие от това с опасността от негативни промени в инвестиционния климат.</w:t>
      </w:r>
    </w:p>
    <w:p w14:paraId="2ED4EED8" w14:textId="77777777" w:rsidR="00FA65F8" w:rsidRPr="00220F7B" w:rsidRDefault="00FA65F8" w:rsidP="00FA65F8">
      <w:pPr>
        <w:pStyle w:val="BodyTextIndent"/>
        <w:spacing w:after="0"/>
        <w:ind w:left="0"/>
        <w:jc w:val="both"/>
      </w:pPr>
      <w:r>
        <w:t xml:space="preserve">       </w:t>
      </w:r>
      <w:r w:rsidRPr="00220F7B">
        <w:t xml:space="preserve">В условията на международна нестабилност, породена от надигащия се тероризъм, опасността от завладелия цял свят </w:t>
      </w:r>
      <w:r w:rsidRPr="00220F7B">
        <w:rPr>
          <w:lang w:val="en-US"/>
        </w:rPr>
        <w:t>COVID 19</w:t>
      </w:r>
      <w:r w:rsidRPr="00220F7B">
        <w:t xml:space="preserve"> и войната в Украйна, политическият риск зависи от мерките, които правителството предприема</w:t>
      </w:r>
      <w:r w:rsidRPr="00220F7B">
        <w:rPr>
          <w:color w:val="800000"/>
        </w:rPr>
        <w:t xml:space="preserve"> </w:t>
      </w:r>
      <w:r w:rsidRPr="00220F7B">
        <w:t xml:space="preserve">за противодействие и за ограничаване на негативните ефекти от настъпващата  криза. </w:t>
      </w:r>
      <w:r w:rsidRPr="00220F7B">
        <w:rPr>
          <w:lang w:val="ru-RU"/>
        </w:rPr>
        <w:t>Икономическата и фискална политика на правителството е насочена към:</w:t>
      </w:r>
    </w:p>
    <w:p w14:paraId="39DBAA1D" w14:textId="77777777" w:rsidR="00FA65F8" w:rsidRPr="00220F7B" w:rsidRDefault="00FA65F8" w:rsidP="00FA65F8">
      <w:pPr>
        <w:pStyle w:val="BodyTextIndent"/>
        <w:numPr>
          <w:ilvl w:val="0"/>
          <w:numId w:val="35"/>
        </w:numPr>
        <w:spacing w:after="0"/>
        <w:jc w:val="both"/>
      </w:pPr>
      <w:r w:rsidRPr="00220F7B">
        <w:rPr>
          <w:lang w:val="ru-RU"/>
        </w:rPr>
        <w:t>приемане на икономически мерки за ограничава на настъпващата криза и  постигане на  макроикономическа устойчивост;</w:t>
      </w:r>
    </w:p>
    <w:p w14:paraId="3B19E59D" w14:textId="77777777" w:rsidR="00FA65F8" w:rsidRPr="00220F7B" w:rsidRDefault="00FA65F8" w:rsidP="00FA65F8">
      <w:pPr>
        <w:pStyle w:val="BodyTextIndent"/>
        <w:numPr>
          <w:ilvl w:val="0"/>
          <w:numId w:val="35"/>
        </w:numPr>
        <w:spacing w:after="0"/>
        <w:jc w:val="both"/>
      </w:pPr>
      <w:r w:rsidRPr="00220F7B">
        <w:rPr>
          <w:lang w:val="ru-RU"/>
        </w:rPr>
        <w:t>стимулиране конкурентоспособността на икономиката;</w:t>
      </w:r>
    </w:p>
    <w:p w14:paraId="6B8A9206" w14:textId="77777777" w:rsidR="00FA65F8" w:rsidRPr="00220F7B" w:rsidRDefault="00FA65F8" w:rsidP="00FA65F8">
      <w:pPr>
        <w:pStyle w:val="BodyTextIndent"/>
        <w:numPr>
          <w:ilvl w:val="0"/>
          <w:numId w:val="35"/>
        </w:numPr>
        <w:spacing w:after="0"/>
        <w:jc w:val="both"/>
      </w:pPr>
      <w:r w:rsidRPr="00220F7B">
        <w:rPr>
          <w:lang w:val="ru-RU"/>
        </w:rPr>
        <w:t>подобряване качеството на социалните системи и стандарта на живот.</w:t>
      </w:r>
    </w:p>
    <w:p w14:paraId="3E10CFCA" w14:textId="77777777" w:rsidR="00FA65F8" w:rsidRPr="00220F7B" w:rsidRDefault="00FA65F8" w:rsidP="00FA65F8">
      <w:pPr>
        <w:pStyle w:val="BodyTextIndent"/>
        <w:spacing w:after="0"/>
        <w:ind w:left="0"/>
        <w:jc w:val="both"/>
      </w:pPr>
    </w:p>
    <w:p w14:paraId="26004988" w14:textId="77777777" w:rsidR="00FA65F8" w:rsidRPr="00220F7B" w:rsidRDefault="00FA65F8" w:rsidP="00FA65F8">
      <w:pPr>
        <w:pStyle w:val="BodyTextIndent"/>
        <w:spacing w:after="0"/>
        <w:ind w:left="0"/>
        <w:jc w:val="both"/>
      </w:pPr>
      <w:r w:rsidRPr="00220F7B">
        <w:t xml:space="preserve">Основните политически рискове за България засягат: </w:t>
      </w:r>
    </w:p>
    <w:p w14:paraId="7411B561" w14:textId="77777777" w:rsidR="00FA65F8" w:rsidRPr="00220F7B" w:rsidRDefault="00FA65F8" w:rsidP="00FA65F8">
      <w:pPr>
        <w:pStyle w:val="BodyTextIndent"/>
        <w:numPr>
          <w:ilvl w:val="0"/>
          <w:numId w:val="4"/>
        </w:numPr>
        <w:tabs>
          <w:tab w:val="left" w:pos="284"/>
        </w:tabs>
        <w:spacing w:after="0"/>
        <w:ind w:left="284" w:hanging="284"/>
        <w:jc w:val="both"/>
      </w:pPr>
      <w:r w:rsidRPr="00220F7B">
        <w:rPr>
          <w:i/>
        </w:rPr>
        <w:t>Стабилността на българското правителство</w:t>
      </w:r>
      <w:r w:rsidRPr="00220F7B">
        <w:t xml:space="preserve"> - от това до голяма степен зависи изпълнението на заложените цели в Националната програма за развитие „България 2030“</w:t>
      </w:r>
      <w:r w:rsidRPr="00220F7B">
        <w:rPr>
          <w:rStyle w:val="FootnoteReference"/>
        </w:rPr>
        <w:footnoteReference w:id="1"/>
      </w:r>
      <w:r w:rsidRPr="00220F7B">
        <w:t>, , където усилията са насочени към реализиране до някаква степен на „популистки мерки“ поради непрекъснатото напрежение от парламентарни избори, реализация по посока на гарантиране на енергийната сигурност на страната свързана с либерализация на пазара на електроенергия и природен газ, повишаване растежа и конкурентоспособността на българската икономика, ограничаване  на негативните  демографски  тенденции,  в  т.ч  повишаване  на раждаемостта, намаляване на младежката емиграция, балансирана имиграционна политика, съобразена с потребностите на българския бизнес;  увеличаване на доходите чрез заетост и по-голяма производителност на труда; подобряване здравето на нацията.</w:t>
      </w:r>
    </w:p>
    <w:p w14:paraId="6668354F" w14:textId="77777777" w:rsidR="00FA65F8" w:rsidRPr="00220F7B" w:rsidRDefault="00FA65F8" w:rsidP="00FA65F8">
      <w:pPr>
        <w:pStyle w:val="BodyTextIndent"/>
        <w:numPr>
          <w:ilvl w:val="0"/>
          <w:numId w:val="4"/>
        </w:numPr>
        <w:tabs>
          <w:tab w:val="left" w:pos="284"/>
        </w:tabs>
        <w:spacing w:after="0"/>
        <w:ind w:left="284" w:hanging="284"/>
        <w:jc w:val="both"/>
      </w:pPr>
      <w:r w:rsidRPr="00220F7B">
        <w:rPr>
          <w:i/>
        </w:rPr>
        <w:t>Финансовата политика на страната</w:t>
      </w:r>
      <w:r w:rsidRPr="00220F7B">
        <w:t>. В тази насока усилията на правителството са насочени към изграждане на стабилна  финансова  система  като  предпоставка  за  устойчиво  икономическо развитие и поддържане на атрактивна инвестиционна среда; устойчиво нарастване на доходите и борба със сивата икономика;</w:t>
      </w:r>
    </w:p>
    <w:p w14:paraId="46D20744" w14:textId="77777777" w:rsidR="00FA65F8" w:rsidRPr="00220F7B" w:rsidRDefault="00FA65F8" w:rsidP="00FA65F8">
      <w:pPr>
        <w:pStyle w:val="BodyTextIndent"/>
        <w:numPr>
          <w:ilvl w:val="0"/>
          <w:numId w:val="4"/>
        </w:numPr>
        <w:tabs>
          <w:tab w:val="left" w:pos="284"/>
        </w:tabs>
        <w:spacing w:after="0"/>
        <w:ind w:left="284" w:hanging="284"/>
        <w:jc w:val="both"/>
      </w:pPr>
      <w:r w:rsidRPr="00220F7B">
        <w:rPr>
          <w:i/>
        </w:rPr>
        <w:t xml:space="preserve">Процеса по усвояване на средства от ЕС. </w:t>
      </w:r>
      <w:r w:rsidRPr="00220F7B">
        <w:t>Наблюдение на: ефективното управление на средствата от Европейския съюз за осигуряване на максимален положителен ефект и реализация на адекватно участие в преговорите за бъдещето на бюджета на ЕС и в частност Кохезионната политика;</w:t>
      </w:r>
    </w:p>
    <w:p w14:paraId="026DA74E" w14:textId="77777777" w:rsidR="00FA65F8" w:rsidRPr="00220F7B" w:rsidRDefault="00FA65F8" w:rsidP="00FA65F8">
      <w:pPr>
        <w:pStyle w:val="BodyTextIndent"/>
        <w:numPr>
          <w:ilvl w:val="0"/>
          <w:numId w:val="4"/>
        </w:numPr>
        <w:tabs>
          <w:tab w:val="left" w:pos="284"/>
        </w:tabs>
        <w:spacing w:after="0"/>
        <w:ind w:left="284" w:hanging="284"/>
        <w:jc w:val="both"/>
      </w:pPr>
      <w:r w:rsidRPr="00220F7B">
        <w:rPr>
          <w:i/>
        </w:rPr>
        <w:t xml:space="preserve">Борбата срещу корупционните практики и организираната и битова престъпност </w:t>
      </w:r>
      <w:r w:rsidRPr="00220F7B">
        <w:t>-  резултатите рефлектират върху доверието на Европа и чуждестранните инвеститори.</w:t>
      </w:r>
    </w:p>
    <w:p w14:paraId="43B80885" w14:textId="77777777" w:rsidR="00FA65F8" w:rsidRPr="00220F7B" w:rsidRDefault="00FA65F8" w:rsidP="00FA65F8">
      <w:pPr>
        <w:pStyle w:val="BodyTextIndent"/>
        <w:numPr>
          <w:ilvl w:val="0"/>
          <w:numId w:val="4"/>
        </w:numPr>
        <w:tabs>
          <w:tab w:val="left" w:pos="284"/>
        </w:tabs>
        <w:spacing w:after="0"/>
        <w:ind w:left="284" w:hanging="284"/>
        <w:jc w:val="both"/>
      </w:pPr>
      <w:r w:rsidRPr="00220F7B">
        <w:rPr>
          <w:i/>
        </w:rPr>
        <w:t xml:space="preserve">Поетите от българско правителство ангажименти в конфликта между двете страни – </w:t>
      </w:r>
      <w:r w:rsidRPr="00220F7B">
        <w:t>резултатите се отразяват в подкрепа на позицията на  североатлантическия ангажименти и участие в антируската кампания, която се разгръща.</w:t>
      </w:r>
    </w:p>
    <w:p w14:paraId="062B9E1B" w14:textId="3C5105FC" w:rsidR="00FA65F8" w:rsidRPr="00220F7B" w:rsidRDefault="00FA65F8" w:rsidP="00FA65F8">
      <w:pPr>
        <w:pStyle w:val="BodyTextIndent"/>
        <w:spacing w:after="0"/>
        <w:ind w:left="284" w:right="-1"/>
        <w:jc w:val="both"/>
        <w:rPr>
          <w:rFonts w:cs="Arial"/>
          <w:b/>
          <w:i/>
          <w:iCs/>
        </w:rPr>
      </w:pPr>
      <w:r>
        <w:rPr>
          <w:rFonts w:cs="Arial"/>
          <w:i/>
          <w:iCs/>
        </w:rPr>
        <w:t xml:space="preserve">           </w:t>
      </w:r>
      <w:r>
        <w:rPr>
          <w:rFonts w:cs="Arial"/>
          <w:i/>
          <w:iCs/>
          <w:color w:val="FF6600"/>
        </w:rPr>
        <w:t xml:space="preserve">* </w:t>
      </w:r>
      <w:r w:rsidRPr="00220F7B">
        <w:rPr>
          <w:rFonts w:cs="Arial"/>
          <w:i/>
          <w:iCs/>
        </w:rPr>
        <w:t xml:space="preserve">На база посоченото и познаването на политическата среда в страната към момента на изготвяне на настоящата програма за развитието и дейността на „ДКЦ </w:t>
      </w:r>
      <w:r>
        <w:rPr>
          <w:rFonts w:cs="Arial"/>
          <w:i/>
          <w:iCs/>
        </w:rPr>
        <w:t>Чайка</w:t>
      </w:r>
      <w:r w:rsidRPr="00220F7B">
        <w:rPr>
          <w:rFonts w:cs="Arial"/>
          <w:i/>
          <w:iCs/>
        </w:rPr>
        <w:t>” ЕООД оценяваме  политическия риск като</w:t>
      </w:r>
      <w:r w:rsidRPr="00220F7B">
        <w:rPr>
          <w:rFonts w:cs="Arial"/>
          <w:b/>
          <w:i/>
          <w:iCs/>
        </w:rPr>
        <w:t xml:space="preserve">:  </w:t>
      </w:r>
      <w:r>
        <w:rPr>
          <w:rFonts w:cs="Arial"/>
          <w:b/>
          <w:i/>
          <w:iCs/>
          <w:color w:val="FF6600"/>
        </w:rPr>
        <w:t>висок</w:t>
      </w:r>
      <w:r w:rsidRPr="00044A64">
        <w:rPr>
          <w:rFonts w:cs="Arial"/>
          <w:b/>
          <w:i/>
          <w:iCs/>
          <w:color w:val="FF6600"/>
        </w:rPr>
        <w:t>.</w:t>
      </w:r>
    </w:p>
    <w:p w14:paraId="525D165F" w14:textId="77777777" w:rsidR="00FA65F8" w:rsidRPr="009C1C00" w:rsidRDefault="00FA65F8" w:rsidP="00FA65F8">
      <w:pPr>
        <w:pStyle w:val="BodyTextIndent"/>
        <w:spacing w:after="0"/>
        <w:ind w:left="0"/>
        <w:jc w:val="both"/>
        <w:rPr>
          <w:color w:val="FF0000"/>
        </w:rPr>
      </w:pPr>
    </w:p>
    <w:p w14:paraId="58302CED" w14:textId="77777777" w:rsidR="00FA65F8" w:rsidRPr="00DD14FB" w:rsidRDefault="00FA65F8" w:rsidP="00FA65F8">
      <w:pPr>
        <w:numPr>
          <w:ilvl w:val="0"/>
          <w:numId w:val="22"/>
        </w:numPr>
        <w:tabs>
          <w:tab w:val="left" w:pos="426"/>
        </w:tabs>
        <w:ind w:hanging="4973"/>
        <w:jc w:val="both"/>
        <w:rPr>
          <w:b/>
        </w:rPr>
      </w:pPr>
      <w:r w:rsidRPr="00DD14FB">
        <w:rPr>
          <w:b/>
        </w:rPr>
        <w:t>Макроикономически рискове:</w:t>
      </w:r>
    </w:p>
    <w:p w14:paraId="4B3867F3" w14:textId="77777777" w:rsidR="00FA65F8" w:rsidRPr="00E52EA6" w:rsidRDefault="00FA65F8" w:rsidP="00FA65F8">
      <w:pPr>
        <w:pStyle w:val="Heading2"/>
        <w:ind w:right="-1"/>
        <w:contextualSpacing/>
        <w:rPr>
          <w:rFonts w:ascii="Calibri" w:eastAsia="Calibri" w:hAnsi="Calibri"/>
          <w:b w:val="0"/>
        </w:rPr>
      </w:pPr>
      <w:r>
        <w:rPr>
          <w:rFonts w:ascii="Calibri" w:eastAsia="Calibri" w:hAnsi="Calibri"/>
          <w:b w:val="0"/>
        </w:rPr>
        <w:t xml:space="preserve">    </w:t>
      </w:r>
      <w:r w:rsidRPr="00E52EA6">
        <w:rPr>
          <w:rFonts w:ascii="Calibri" w:eastAsia="Calibri" w:hAnsi="Calibri"/>
          <w:b w:val="0"/>
        </w:rPr>
        <w:t xml:space="preserve">През изтеклата година се наблюдаваше неочаквано силно глобално икономическо възстановяване. През 2020 г. Организацията за икономическо сътрудничество и развитие (ОИСР) прогнозира глобален икономически растеж от 4,2 на сто през 2021 г. след спада от 4,2 на </w:t>
      </w:r>
      <w:r w:rsidRPr="00E52EA6">
        <w:rPr>
          <w:rFonts w:ascii="Calibri" w:eastAsia="Calibri" w:hAnsi="Calibri"/>
          <w:b w:val="0"/>
        </w:rPr>
        <w:lastRenderedPageBreak/>
        <w:t>сто през 2020 г. Но това възстановяване е неравномерно, като най-забележително се представят страните с високи доходи: постигнатият ръст на икономиката на САЩ е от 5,6%, а на еврозоната – 5,2% през 2021 г., докато през 2020г. се очакваше икономиката на САЩ да се разшири с 3,2%, а на еврозоната – с 3,6%.</w:t>
      </w:r>
    </w:p>
    <w:p w14:paraId="4DF8A5AD" w14:textId="77777777" w:rsidR="00FA65F8" w:rsidRPr="00E52EA6" w:rsidRDefault="00FA65F8" w:rsidP="00FA65F8">
      <w:pPr>
        <w:contextualSpacing/>
      </w:pPr>
      <w:r>
        <w:rPr>
          <w:lang w:val="en-US"/>
        </w:rPr>
        <w:t xml:space="preserve">        </w:t>
      </w:r>
      <w:r w:rsidRPr="00E52EA6">
        <w:t>Като цяло, според последната икономическа перспектива, „производството в повечето страни от ОИСР сега е близо или над нивата отпреди пандемията“. Все пак „силата на възстановяването все още не е позволила пълно излекуване на глобалната икономика от последиците от пандемията“, допълва ОИСР.</w:t>
      </w:r>
    </w:p>
    <w:p w14:paraId="56F8B3DD" w14:textId="77777777" w:rsidR="00FA65F8" w:rsidRPr="00E52EA6" w:rsidRDefault="00FA65F8" w:rsidP="00FA65F8">
      <w:pPr>
        <w:contextualSpacing/>
        <w:jc w:val="both"/>
      </w:pPr>
      <w:r>
        <w:rPr>
          <w:lang w:val="en-US"/>
        </w:rPr>
        <w:t xml:space="preserve">        </w:t>
      </w:r>
      <w:r w:rsidRPr="00E52EA6">
        <w:t>Поразителната характеристика на това възстановяване е неговата неравномерност в множество измерения — относително представяне на по-богатите и по-бедните страни, разпространението на ваксинацията срещу коронавируса, степента и характеристиките на политическата подкрепа, поведението на пазарите на труда, моделите на секторно търсене, степента на смущения във веригите на доставки и недостиг на жизненоважни ресурси.</w:t>
      </w:r>
    </w:p>
    <w:p w14:paraId="1E191335" w14:textId="77777777" w:rsidR="00FA65F8" w:rsidRPr="00E52EA6" w:rsidRDefault="00FA65F8" w:rsidP="00FA65F8">
      <w:pPr>
        <w:contextualSpacing/>
        <w:jc w:val="both"/>
      </w:pPr>
      <w:r>
        <w:rPr>
          <w:lang w:val="en-US"/>
        </w:rPr>
        <w:t xml:space="preserve">       </w:t>
      </w:r>
      <w:r w:rsidRPr="00E52EA6">
        <w:t>Въпреки възстановяването според ОИСР световното производство все още е с 3,5% под прогнозата преди пандемията в края на 2021 г. Най-важното е, че загубената продукция е неравномерно разпределена, с относително по-големи загуби в развиващите се икономики със средни доходи, отколкото в тези с високи доходи, и най-големи загуби в страните с ниски доходи, с ужасни последици за най-бедните в света.</w:t>
      </w:r>
    </w:p>
    <w:p w14:paraId="43029DA3" w14:textId="77777777" w:rsidR="00FA65F8" w:rsidRPr="00E52EA6" w:rsidRDefault="00FA65F8" w:rsidP="00FA65F8">
      <w:pPr>
        <w:contextualSpacing/>
        <w:jc w:val="both"/>
      </w:pPr>
      <w:r>
        <w:rPr>
          <w:lang w:val="en-US"/>
        </w:rPr>
        <w:t xml:space="preserve">      </w:t>
      </w:r>
      <w:r w:rsidRPr="00E52EA6">
        <w:t>Икономиката на ЕС се възстановява от предизвиканата от пандемията рецесия по-бързо от очакваното. С напредването на кампаниите за ваксинация и с постепенното премахване на ограниченията растежът се възобнови благодарение на повторното отваряне на икономиката, като се очаква тя да продължи да отбелязва растеж въпреки засилващите се предизвикателства и да постигне темп на растеж от 5 %, 4,3 % и 2,5 % съответно през 2021 г., 2022 г. и 2023 г. Очаква се темповете на растеж в еврозоната да бъдат същите като тези за ЕС през 2021 г. и 2022 г., а през 2023 г. темпът на растеж се очаква да бъде 2,4 %. Тази прогноза зависи в голяма степен от два фактора: развитието на пандемията от COVID-19 и темпото, с което предлагането се адаптира към бързото възстановяване на търсенето след повторното отваряне на икономиката.</w:t>
      </w:r>
    </w:p>
    <w:p w14:paraId="566657B2" w14:textId="77777777" w:rsidR="00FA65F8" w:rsidRPr="00E52EA6" w:rsidRDefault="00FA65F8" w:rsidP="00FA65F8">
      <w:pPr>
        <w:contextualSpacing/>
        <w:jc w:val="both"/>
      </w:pPr>
      <w:r>
        <w:rPr>
          <w:lang w:val="en-US"/>
        </w:rPr>
        <w:t xml:space="preserve">      </w:t>
      </w:r>
      <w:r w:rsidRPr="00E52EA6">
        <w:t>През второто тримесечие на 2021 г. бе най-високият отчетен досега. Толкова висок, колкото безпрецедентния спад на БВП през същия период миналата година по време на първата вълна на пандемията. През третото тримесечие на 2021 г. икономиката на ЕС възвърна нивото си на производителност преди пандемията и премина от възстановяване към растеж.</w:t>
      </w:r>
    </w:p>
    <w:p w14:paraId="2F3F2D91" w14:textId="77777777" w:rsidR="00FA65F8" w:rsidRPr="00E52EA6" w:rsidRDefault="00FA65F8" w:rsidP="00FA65F8">
      <w:pPr>
        <w:contextualSpacing/>
        <w:jc w:val="both"/>
      </w:pPr>
      <w:r>
        <w:rPr>
          <w:lang w:val="en-US"/>
        </w:rPr>
        <w:t xml:space="preserve">     </w:t>
      </w:r>
      <w:r w:rsidRPr="00E52EA6">
        <w:t>Този растеж ще продължи да бъде стимулиран от вътрешното търсене. Подобряването на пазарите на труда и очакваното намаляване на спестяванията следва да допринесат за запазване на стабилно темпо на разходите от страна на потребителите. Прилагането на Механизма за възстановяване и устойчивост също започва да играе важна роля за стимулирането на частните и публичните инвестиции.</w:t>
      </w:r>
    </w:p>
    <w:p w14:paraId="25C3EEB7" w14:textId="77777777" w:rsidR="00FA65F8" w:rsidRPr="00E52EA6" w:rsidRDefault="00FA65F8" w:rsidP="00FA65F8">
      <w:pPr>
        <w:contextualSpacing/>
        <w:jc w:val="both"/>
      </w:pPr>
      <w:r>
        <w:rPr>
          <w:lang w:val="en-US"/>
        </w:rPr>
        <w:t xml:space="preserve">    </w:t>
      </w:r>
      <w:r w:rsidRPr="00E52EA6">
        <w:t>Въпреки това тенденцията на икономически растеж се сблъсква с нови предизвикателства. Пречките и сътресенията в предлагането в световен мащаб затрудняват дейността в ЕС, най-вече в неговия силно интегриран производствен сектор. Освен това след рязък спад през 2020 г. цените на енергията, най-вече на природния газ, се увеличиха с тревожни темпове през последния месец и понастоящем са доста над равнищата отпреди пандемията. Това ще повлияе отрицателно на потреблението и инвестициите.</w:t>
      </w:r>
    </w:p>
    <w:p w14:paraId="68A9B08E" w14:textId="77777777" w:rsidR="00FA65F8" w:rsidRPr="00E52EA6" w:rsidRDefault="00FA65F8" w:rsidP="00FA65F8">
      <w:pPr>
        <w:contextualSpacing/>
        <w:jc w:val="both"/>
      </w:pPr>
      <w:r>
        <w:rPr>
          <w:lang w:val="en-US"/>
        </w:rPr>
        <w:t xml:space="preserve">    </w:t>
      </w:r>
      <w:r w:rsidRPr="00E52EA6">
        <w:t>Пазарите на труда в ЕС се подобриха значително благодарение на облекчаването на ограниченията върху дейностите, насочени към потребителите. През второто тримесечие на тази година икономиката на ЕС създаде около 1,5 милиона нови работни места, много работници излязоха от схемите за запазване на работните места, а процентът на безработица намаля. Общият брой на заетите лица в ЕС обаче все още е с 1 % по-малко от нивото преди пандемията.</w:t>
      </w:r>
    </w:p>
    <w:p w14:paraId="50E71BC4" w14:textId="77777777" w:rsidR="00FA65F8" w:rsidRPr="00E52EA6" w:rsidRDefault="00FA65F8" w:rsidP="00FA65F8">
      <w:pPr>
        <w:contextualSpacing/>
        <w:jc w:val="both"/>
      </w:pPr>
      <w:r>
        <w:rPr>
          <w:lang w:val="en-US"/>
        </w:rPr>
        <w:t xml:space="preserve">    </w:t>
      </w:r>
      <w:r w:rsidRPr="00E52EA6">
        <w:t>В прогнозата се предвижда заетостта в ЕС да нарасне с 0,8 % тази година, с 1 % през 2022 г. и с 0,6 % през 2023 г. Очаква се следващата година заетостта да надхвърли равнището си отпреди кризата и да започне да нараства през 2023 г. Очаква се безработицата в ЕС да намалее от 7,1 % тази година на 6,7 % и на 6,5 % съответно през 2022 г. и 2023 г. В еврозоната се очаква тя да бъде 7,9 %, 7,5 % и 7,3 % през трите години.</w:t>
      </w:r>
    </w:p>
    <w:p w14:paraId="4D21026C" w14:textId="77777777" w:rsidR="00FA65F8" w:rsidRPr="00E52EA6" w:rsidRDefault="00FA65F8" w:rsidP="00FA65F8">
      <w:pPr>
        <w:contextualSpacing/>
        <w:jc w:val="both"/>
      </w:pPr>
      <w:r>
        <w:rPr>
          <w:lang w:val="en-US"/>
        </w:rPr>
        <w:lastRenderedPageBreak/>
        <w:t xml:space="preserve">    </w:t>
      </w:r>
      <w:r w:rsidRPr="00E52EA6">
        <w:t>След няколко години на ниска инфлация силното възобновяване на икономическата активност в ЕС и в много развити икономики беше придружено от нарастване на инфлацията над прогнозираните равнища.</w:t>
      </w:r>
    </w:p>
    <w:p w14:paraId="0666C95F" w14:textId="77777777" w:rsidR="00FA65F8" w:rsidRPr="00E52EA6" w:rsidRDefault="00FA65F8" w:rsidP="00FA65F8">
      <w:pPr>
        <w:contextualSpacing/>
        <w:jc w:val="both"/>
      </w:pPr>
      <w:r>
        <w:rPr>
          <w:lang w:val="en-US"/>
        </w:rPr>
        <w:t xml:space="preserve">    </w:t>
      </w:r>
      <w:r w:rsidRPr="00E52EA6">
        <w:t>Съществува несигурност и рисковете около перспективите за растеж остават много високи. Въпреки че въздействието на пандемията върху икономическата активност намаля значително, COVID-19 все още не е победен и възстановяването зависи в голяма степен от развитието на болестта както в рамките на ЕС, така и извън него. На фона на неотдавнашното рязко увеличение на случаите на заразени в много държави, не може да се изключи повторното въвеждане на ограничения, които оказват въздействие върху икономическата дейност. В ЕС този риск е особено важен в държавите членки със сравнително нисък процент на ваксинация.</w:t>
      </w:r>
    </w:p>
    <w:p w14:paraId="3047F6B6" w14:textId="77777777" w:rsidR="00FA65F8" w:rsidRPr="00E52EA6" w:rsidRDefault="00FA65F8" w:rsidP="00FA65F8">
      <w:pPr>
        <w:contextualSpacing/>
        <w:jc w:val="both"/>
      </w:pPr>
      <w:r>
        <w:rPr>
          <w:lang w:val="en-US"/>
        </w:rPr>
        <w:t xml:space="preserve">    </w:t>
      </w:r>
      <w:r w:rsidRPr="00E52EA6">
        <w:t>Икономическите рискове са свързани и с възможното продължително въздействие на настоящите ограничения и пречки при предлагането.</w:t>
      </w:r>
    </w:p>
    <w:p w14:paraId="53D07C9B" w14:textId="77777777" w:rsidR="00FA65F8" w:rsidRPr="00E52EA6" w:rsidRDefault="00FA65F8" w:rsidP="00FA65F8">
      <w:pPr>
        <w:contextualSpacing/>
        <w:jc w:val="both"/>
      </w:pPr>
      <w:r>
        <w:rPr>
          <w:lang w:val="en-US"/>
        </w:rPr>
        <w:t xml:space="preserve">    </w:t>
      </w:r>
      <w:r w:rsidRPr="00E52EA6">
        <w:t>Основният благоприятен риск за перспективите за растеж е свързан с потенциалното повишаване на ефективността и с трайния напредък в областта на производителността, стимулирани от породените от пандемията структурни промени. Инвестициите, подсилени от Механизма за възстановяване и устойчивост, и съпътстващите структурни реформи ще бъдат от основно значение в това отношение. Като цяло балансът между рисковете, които засягат тази прогноза, клони в неблагоприятна посока.</w:t>
      </w:r>
    </w:p>
    <w:p w14:paraId="00493402" w14:textId="77777777" w:rsidR="00FA65F8" w:rsidRPr="00E52EA6" w:rsidRDefault="00FA65F8" w:rsidP="00FA65F8">
      <w:pPr>
        <w:contextualSpacing/>
        <w:jc w:val="both"/>
      </w:pPr>
      <w:r>
        <w:rPr>
          <w:lang w:val="en-US"/>
        </w:rPr>
        <w:t xml:space="preserve">    </w:t>
      </w:r>
      <w:r w:rsidRPr="00E52EA6">
        <w:t>Тази неблагоприятна прогноза е подсилена и избухналата в края на февруари война между Русия и Украйна, която може да се превърне в най-големия конфликт в Европа от Втората световна война насам. Според Financial Times тя разби надеждите за силно световно икономическо възстановяване от коронавируса поне в краткосрочен план, пише. Инвазията на Русия в Украйна разтърси финансовите пазари, а засилените геополитически напрежения вероятно ще ускорят и без това високата инфлация и ще усложнят проблемите с веригите на доставка. Прякото влияние на по-слабата търговия с Русия, икономическите санкции, наложени върху Москва от САЩ и ЕС, и финансовата зараза вероятно ще бъдат засенчени от непреките последици от ефекта върху доверието на бизнеса и потребителите и пазарите на суровини. Тези последици може да варират от сравнително ограничени до изключително сериозни. Ако енергийните цени продължат да се вдигат, това лесно може да бутне световната икономика във втора рецесия за три години.</w:t>
      </w:r>
    </w:p>
    <w:p w14:paraId="135CE135" w14:textId="77777777" w:rsidR="00FA65F8" w:rsidRPr="009C1C00" w:rsidRDefault="00FA65F8" w:rsidP="00FA65F8">
      <w:pPr>
        <w:pStyle w:val="BodyTextIndent"/>
        <w:jc w:val="both"/>
      </w:pPr>
    </w:p>
    <w:p w14:paraId="6D3875BC" w14:textId="77777777" w:rsidR="00FA65F8" w:rsidRPr="00DD14FB" w:rsidRDefault="00FA65F8" w:rsidP="00FA65F8">
      <w:pPr>
        <w:pStyle w:val="BodyTextIndent"/>
        <w:numPr>
          <w:ilvl w:val="0"/>
          <w:numId w:val="6"/>
        </w:numPr>
        <w:spacing w:after="0"/>
        <w:jc w:val="both"/>
        <w:rPr>
          <w:b/>
        </w:rPr>
      </w:pPr>
      <w:r w:rsidRPr="00DD14FB">
        <w:rPr>
          <w:b/>
        </w:rPr>
        <w:t>Валутен риск:</w:t>
      </w:r>
    </w:p>
    <w:p w14:paraId="2A09A072" w14:textId="77777777" w:rsidR="00FA65F8" w:rsidRPr="00A86036" w:rsidRDefault="00FA65F8" w:rsidP="00FA65F8">
      <w:pPr>
        <w:pStyle w:val="BodyTextIndent"/>
        <w:spacing w:after="0"/>
        <w:ind w:left="0" w:right="-1"/>
        <w:contextualSpacing/>
        <w:jc w:val="both"/>
        <w:rPr>
          <w:rFonts w:cs="Arial"/>
        </w:rPr>
      </w:pPr>
      <w:r>
        <w:rPr>
          <w:rFonts w:cs="Arial"/>
        </w:rPr>
        <w:t xml:space="preserve">       </w:t>
      </w:r>
      <w:r w:rsidRPr="00A86036">
        <w:rPr>
          <w:rFonts w:cs="Arial"/>
        </w:rPr>
        <w:t>Валутният риск обобщава възможните негативни импликации върху възвращаемостта на инвестициите в страната, вследствие на промени във валутния курс. Като гарант за макроикономическата стабилност, България ще запази паричния съвет при съществуващото равнище на фиксиран валутен курс от 1.95583 лева за 1 евро до присъединяването на страната към еврозоната.</w:t>
      </w:r>
    </w:p>
    <w:p w14:paraId="4E5CF7BA" w14:textId="77777777" w:rsidR="00FA65F8" w:rsidRPr="00A86036" w:rsidRDefault="00FA65F8" w:rsidP="00FA65F8">
      <w:pPr>
        <w:pStyle w:val="BodyTextIndent"/>
        <w:spacing w:after="0"/>
        <w:ind w:left="0" w:right="-1"/>
        <w:contextualSpacing/>
        <w:jc w:val="both"/>
      </w:pPr>
      <w:r>
        <w:rPr>
          <w:rFonts w:cs="Arial"/>
        </w:rPr>
        <w:t xml:space="preserve">      </w:t>
      </w:r>
      <w:r w:rsidRPr="00A86036">
        <w:rPr>
          <w:rFonts w:cs="Arial"/>
        </w:rPr>
        <w:t>На база прогнозите на Goldman Sachs</w:t>
      </w:r>
      <w:r w:rsidRPr="00A86036">
        <w:rPr>
          <w:rStyle w:val="FootnoteReference"/>
          <w:rFonts w:cs="Arial"/>
        </w:rPr>
        <w:footnoteReference w:id="2"/>
      </w:r>
      <w:r w:rsidRPr="00A86036">
        <w:rPr>
          <w:rFonts w:cs="Arial"/>
        </w:rPr>
        <w:t xml:space="preserve">, че икономиката на еврозоната ще расте с по-бързи темпове от тази на САЩ през 2022 г. Банката очаква БВП да се разшири, съответно, с 4,4% и 3,5%. </w:t>
      </w:r>
      <w:r w:rsidRPr="00A86036">
        <w:t xml:space="preserve">Стойността на глобалните платежни трансакции в евро се повишава до тази на щатския долар, показват данни от международната разплащателна мрежа Swift. Това означава, че активността във валутата се повишава. </w:t>
      </w:r>
      <w:r w:rsidRPr="00A86036">
        <w:rPr>
          <w:rFonts w:cs="Arial"/>
        </w:rPr>
        <w:t>Стойността на трансакциите в евро изпреварват тази в долари. Разликата между двете валути на световната сцена стана значително по-малка от началото на пандемията.</w:t>
      </w:r>
      <w:r w:rsidRPr="00A86036">
        <w:t xml:space="preserve"> </w:t>
      </w:r>
      <w:r w:rsidRPr="00A86036">
        <w:rPr>
          <w:rFonts w:cs="Arial"/>
        </w:rPr>
        <w:t>Потенциалните причини за това включват координираните усилия на ЕС да подкрепи икономиката си в настоящата криза и продължаващата фискална политика с нулеви лихви в региона. Същевременно вярата в американската икономика и нейния растеж е нестабилна, според CNBC, тъй като несигурността около икономическия пакет на президента Джо Байдън продължава.</w:t>
      </w:r>
    </w:p>
    <w:p w14:paraId="5F986AE4" w14:textId="77777777" w:rsidR="00FA65F8" w:rsidRPr="00A86036" w:rsidRDefault="00FA65F8" w:rsidP="00FA65F8">
      <w:pPr>
        <w:pStyle w:val="BodyTextIndent"/>
        <w:spacing w:after="0"/>
        <w:ind w:left="0" w:right="-1"/>
        <w:jc w:val="both"/>
        <w:rPr>
          <w:rFonts w:cs="Arial"/>
        </w:rPr>
      </w:pPr>
      <w:r>
        <w:rPr>
          <w:rFonts w:cs="Arial"/>
        </w:rPr>
        <w:t xml:space="preserve">     </w:t>
      </w:r>
      <w:r w:rsidRPr="00A86036">
        <w:rPr>
          <w:rFonts w:cs="Arial"/>
        </w:rPr>
        <w:t>Общият международен успех на еврото като силен втори играч е изненада за икономистите, тъй като щатският долар дълго време се разглеждаше като единствената международна търговска валута.</w:t>
      </w:r>
    </w:p>
    <w:p w14:paraId="7549A23D" w14:textId="77777777" w:rsidR="00FA65F8" w:rsidRPr="00A86036" w:rsidRDefault="00FA65F8" w:rsidP="00FA65F8">
      <w:pPr>
        <w:pStyle w:val="BodyTextIndent"/>
        <w:spacing w:after="0"/>
        <w:ind w:left="0" w:right="-1"/>
        <w:jc w:val="both"/>
        <w:rPr>
          <w:rFonts w:cs="Arial"/>
        </w:rPr>
      </w:pPr>
      <w:r>
        <w:rPr>
          <w:rFonts w:cs="Arial"/>
        </w:rPr>
        <w:lastRenderedPageBreak/>
        <w:t xml:space="preserve">     </w:t>
      </w:r>
      <w:r w:rsidRPr="00A86036">
        <w:rPr>
          <w:rFonts w:cs="Arial"/>
        </w:rPr>
        <w:t>За добро или за лошо, българската икономика е сериозно обвързана с икономиката на еврозоната - над 60% от износа ни е към страни, използващи еврото като основна валута, като това засилва допълнително положителния ефект от ниския курс долар / лев.</w:t>
      </w:r>
    </w:p>
    <w:p w14:paraId="24E1F034" w14:textId="77777777" w:rsidR="00FA65F8" w:rsidRPr="00A86036" w:rsidRDefault="00FA65F8" w:rsidP="00FA65F8">
      <w:pPr>
        <w:pStyle w:val="BodyTextIndent"/>
        <w:spacing w:after="0"/>
        <w:ind w:left="0" w:right="-1"/>
        <w:jc w:val="both"/>
        <w:rPr>
          <w:rFonts w:cs="Arial"/>
        </w:rPr>
      </w:pPr>
      <w:r>
        <w:rPr>
          <w:rFonts w:cs="Arial"/>
        </w:rPr>
        <w:t xml:space="preserve">     </w:t>
      </w:r>
      <w:r w:rsidRPr="00A86036">
        <w:rPr>
          <w:rFonts w:cs="Arial"/>
        </w:rPr>
        <w:t>След ескалацията на войната в Украйна еврото вече не е толкова стабилно, стойността му се понижи с около 5% през последния месец. Еврото падна под паритета спрямо убежищния швейцарски франк по време на азиатската търговия, като за първи път от януари 2015 г. насам се срина до това ниво на фона на засилената загриженост на инвеститорите във връзка с нахлуването на Русия в Украйна. Войната в Украйна се развива бързо - твърде бързо, за да може Европейската централна банка да има ясна представа как да промени паричната си политика, а Международният валутен фонд предупреди, че продължаващата война и свързаните с нея санкции ще окажат сериозно въздействие върху световната икономика.</w:t>
      </w:r>
    </w:p>
    <w:p w14:paraId="0AC8C00E" w14:textId="57A62155" w:rsidR="00FA65F8" w:rsidRPr="00A86036" w:rsidRDefault="00FA65F8" w:rsidP="00FA65F8">
      <w:pPr>
        <w:pStyle w:val="BodyTextIndent"/>
        <w:spacing w:after="0"/>
        <w:ind w:left="284" w:right="-1"/>
        <w:jc w:val="both"/>
        <w:rPr>
          <w:rFonts w:cs="Arial"/>
          <w:b/>
          <w:i/>
          <w:iCs/>
        </w:rPr>
      </w:pPr>
      <w:r w:rsidRPr="00044A64">
        <w:rPr>
          <w:rFonts w:cs="Arial"/>
          <w:i/>
          <w:iCs/>
          <w:color w:val="FF6600"/>
        </w:rPr>
        <w:t>*</w:t>
      </w:r>
      <w:r>
        <w:rPr>
          <w:rFonts w:cs="Arial"/>
          <w:i/>
          <w:iCs/>
        </w:rPr>
        <w:t xml:space="preserve"> </w:t>
      </w:r>
      <w:r w:rsidRPr="00A86036">
        <w:rPr>
          <w:rFonts w:cs="Arial"/>
          <w:i/>
          <w:iCs/>
        </w:rPr>
        <w:t xml:space="preserve">На база посоченото по-горе и познаването на икономическата среда към момента на изготвяне на настоящата програма за развитието и дейността на „ДКЦ </w:t>
      </w:r>
      <w:r>
        <w:rPr>
          <w:rFonts w:cs="Arial"/>
          <w:i/>
          <w:iCs/>
        </w:rPr>
        <w:t>Чайка</w:t>
      </w:r>
      <w:r w:rsidRPr="00A86036">
        <w:rPr>
          <w:rFonts w:cs="Arial"/>
          <w:i/>
          <w:iCs/>
        </w:rPr>
        <w:t xml:space="preserve">” ЕООД оценяваме валутния риск като:  </w:t>
      </w:r>
      <w:r>
        <w:rPr>
          <w:rFonts w:cs="Arial"/>
          <w:b/>
          <w:i/>
          <w:iCs/>
          <w:color w:val="FF6600"/>
        </w:rPr>
        <w:t>висок</w:t>
      </w:r>
      <w:r w:rsidRPr="00044A64">
        <w:rPr>
          <w:rFonts w:cs="Arial"/>
          <w:b/>
          <w:i/>
          <w:iCs/>
          <w:color w:val="FF6600"/>
        </w:rPr>
        <w:t>.</w:t>
      </w:r>
    </w:p>
    <w:p w14:paraId="527C7F4C" w14:textId="77777777" w:rsidR="00FA65F8" w:rsidRPr="00B17CA0" w:rsidRDefault="00FA65F8" w:rsidP="00FA65F8">
      <w:pPr>
        <w:pStyle w:val="BodyTextIndent"/>
        <w:tabs>
          <w:tab w:val="left" w:pos="284"/>
        </w:tabs>
        <w:spacing w:after="0"/>
        <w:ind w:left="540" w:right="144"/>
        <w:jc w:val="both"/>
        <w:rPr>
          <w:rFonts w:cs="Arial"/>
          <w:i/>
        </w:rPr>
      </w:pPr>
    </w:p>
    <w:p w14:paraId="0D2C78E1" w14:textId="77777777" w:rsidR="00FA65F8" w:rsidRPr="00DD14FB" w:rsidRDefault="00FA65F8" w:rsidP="00FA65F8">
      <w:pPr>
        <w:pStyle w:val="BodyTextIndent"/>
        <w:numPr>
          <w:ilvl w:val="0"/>
          <w:numId w:val="6"/>
        </w:numPr>
        <w:tabs>
          <w:tab w:val="num" w:pos="567"/>
        </w:tabs>
        <w:spacing w:after="0"/>
        <w:ind w:left="567" w:hanging="283"/>
        <w:jc w:val="both"/>
        <w:rPr>
          <w:b/>
        </w:rPr>
      </w:pPr>
      <w:r w:rsidRPr="00DD14FB">
        <w:rPr>
          <w:b/>
        </w:rPr>
        <w:t>Инфлационен риск:</w:t>
      </w:r>
    </w:p>
    <w:p w14:paraId="7E260349" w14:textId="77777777" w:rsidR="00FA65F8" w:rsidRPr="00A86036" w:rsidRDefault="00FA65F8" w:rsidP="00FA65F8">
      <w:pPr>
        <w:pStyle w:val="BodyTextIndent"/>
        <w:spacing w:after="0"/>
        <w:ind w:left="0" w:right="-1"/>
        <w:jc w:val="both"/>
        <w:rPr>
          <w:rFonts w:cs="Arial"/>
        </w:rPr>
      </w:pPr>
      <w:r>
        <w:rPr>
          <w:rFonts w:cs="Arial"/>
        </w:rPr>
        <w:t xml:space="preserve">           </w:t>
      </w:r>
      <w:r w:rsidRPr="00A86036">
        <w:rPr>
          <w:rFonts w:cs="Arial"/>
        </w:rPr>
        <w:t xml:space="preserve">Инфлацията в страната е важен фактор, касаещ реалната възвращаемост на инвестициите в България. Основните рискове, свързани с инфлацията се отнасят до развитието на международните цени и до темпа на икономически растеж в страната. </w:t>
      </w:r>
    </w:p>
    <w:p w14:paraId="13590687" w14:textId="77777777" w:rsidR="00FA65F8" w:rsidRPr="00A86036" w:rsidRDefault="00FA65F8" w:rsidP="00FA65F8">
      <w:pPr>
        <w:pStyle w:val="BodyTextIndent"/>
        <w:spacing w:after="0"/>
        <w:ind w:left="0" w:right="-1"/>
        <w:jc w:val="both"/>
        <w:rPr>
          <w:rFonts w:cs="Arial"/>
        </w:rPr>
      </w:pPr>
      <w:r>
        <w:rPr>
          <w:rFonts w:cs="Arial"/>
        </w:rPr>
        <w:t xml:space="preserve">           </w:t>
      </w:r>
      <w:r w:rsidRPr="00A86036">
        <w:rPr>
          <w:rFonts w:cs="Arial"/>
        </w:rPr>
        <w:t xml:space="preserve">Съгласно представените данни на Националния статистически институт (НСИ) годишната инфлация в България Годишната инфлация за декември 2021 г. спрямо декември 2020 г. е 7.8%. Средногодишната инфлация за периода януари - декември 2021 г. спрямо периода януари - декември 2020 г. е 3.3%. </w:t>
      </w:r>
    </w:p>
    <w:p w14:paraId="595C1806" w14:textId="77777777" w:rsidR="00FA65F8" w:rsidRPr="00A86036" w:rsidRDefault="00FA65F8" w:rsidP="00FA65F8">
      <w:pPr>
        <w:pStyle w:val="BodyTextIndent"/>
        <w:spacing w:after="0"/>
        <w:ind w:left="0" w:right="-1"/>
        <w:jc w:val="both"/>
        <w:rPr>
          <w:rFonts w:cs="Arial"/>
        </w:rPr>
      </w:pPr>
      <w:r>
        <w:rPr>
          <w:rFonts w:cs="Arial"/>
        </w:rPr>
        <w:t xml:space="preserve">           </w:t>
      </w:r>
      <w:r w:rsidRPr="00A86036">
        <w:rPr>
          <w:rFonts w:cs="Arial"/>
        </w:rPr>
        <w:t>Голяма част от инфлацията, която отчита статистиката в момента, идва отвън: през храни, горива, транспорт. Например само за година цените на дребно на най-масовият бензин и на дизела в страната са се увеличили с една трета, а на пропан-бутана с почти две трети. Друг фактор са нарушените вериги на доставки (суровини, транспорт) заради ковид кризата, като недостигът логично повишава цената им не само в България.</w:t>
      </w:r>
    </w:p>
    <w:p w14:paraId="3D1273C0" w14:textId="77777777" w:rsidR="00FA65F8" w:rsidRPr="00A86036" w:rsidRDefault="00FA65F8" w:rsidP="00FA65F8">
      <w:pPr>
        <w:pStyle w:val="BodyTextIndent"/>
        <w:spacing w:after="0"/>
        <w:ind w:left="0" w:right="-1"/>
        <w:jc w:val="both"/>
        <w:rPr>
          <w:rFonts w:cs="Arial"/>
        </w:rPr>
      </w:pPr>
      <w:r>
        <w:rPr>
          <w:rFonts w:cs="Arial"/>
        </w:rPr>
        <w:t xml:space="preserve">           </w:t>
      </w:r>
      <w:r w:rsidRPr="00A86036">
        <w:rPr>
          <w:rFonts w:cs="Arial"/>
        </w:rPr>
        <w:t>Индексът на потребителските цени за декември 2021 г. спрямо ноември 2021 г. е 100.9%, т.е. месечната инфлация е 0.9%. През декември 2021 г. спрямо предходния месец цените на стоките и услугите в потребителските групи са се повишили. Централното газоснабдяване е поскъпнало със 7.9%, газообразни горива за битови нужди – с 1.2%, въглища – с 9.8%, дърва за отопление – с 0.5%,  увеличение има и при горивата, поскъпнали, макар и с малко, са бялата техника. През декември 2021 г. е регистрирано увеличение на цените на лекарските и стоматологичните услуги съответно с 0.5 и 0.2%, а цените на лекарствените продукти остават на равнището от предходния месец. Намаление се наблюдава единствено при облекло и обувки и то е с 0.8%.</w:t>
      </w:r>
    </w:p>
    <w:p w14:paraId="07EF50DD" w14:textId="77777777" w:rsidR="00FA65F8" w:rsidRPr="00A86036" w:rsidRDefault="00FA65F8" w:rsidP="00FA65F8">
      <w:pPr>
        <w:pStyle w:val="BodyTextIndent"/>
        <w:spacing w:after="0"/>
        <w:ind w:left="0" w:right="-1"/>
        <w:jc w:val="both"/>
        <w:rPr>
          <w:rFonts w:cs="Arial"/>
        </w:rPr>
      </w:pPr>
      <w:r>
        <w:rPr>
          <w:rFonts w:cs="Arial"/>
        </w:rPr>
        <w:t xml:space="preserve">          </w:t>
      </w:r>
      <w:r w:rsidRPr="00A86036">
        <w:rPr>
          <w:rFonts w:cs="Arial"/>
        </w:rPr>
        <w:t xml:space="preserve">Инфлацията е важна, тъй като освен разполагаемия доход тя изяжда и от доходността на инвестициите, ако е извън здравословните нива. Разбира се, всичко е доста условно и зависи както от потребителския профил на човека, така и от спестовния му план. </w:t>
      </w:r>
    </w:p>
    <w:tbl>
      <w:tblPr>
        <w:tblW w:w="8894" w:type="dxa"/>
        <w:tblInd w:w="354" w:type="dxa"/>
        <w:tblBorders>
          <w:top w:val="single" w:sz="8" w:space="0" w:color="0070C0"/>
          <w:left w:val="single" w:sz="8" w:space="0" w:color="0070C0"/>
          <w:bottom w:val="single" w:sz="8" w:space="0" w:color="0070C0"/>
          <w:right w:val="single" w:sz="8" w:space="0" w:color="0070C0"/>
          <w:insideH w:val="single" w:sz="8" w:space="0" w:color="0070C0"/>
        </w:tblBorders>
        <w:tblCellMar>
          <w:left w:w="70" w:type="dxa"/>
          <w:right w:w="70" w:type="dxa"/>
        </w:tblCellMar>
        <w:tblLook w:val="04A0" w:firstRow="1" w:lastRow="0" w:firstColumn="1" w:lastColumn="0" w:noHBand="0" w:noVBand="1"/>
      </w:tblPr>
      <w:tblGrid>
        <w:gridCol w:w="806"/>
        <w:gridCol w:w="842"/>
        <w:gridCol w:w="806"/>
        <w:gridCol w:w="805"/>
        <w:gridCol w:w="805"/>
        <w:gridCol w:w="805"/>
        <w:gridCol w:w="805"/>
        <w:gridCol w:w="805"/>
        <w:gridCol w:w="805"/>
        <w:gridCol w:w="805"/>
        <w:gridCol w:w="805"/>
      </w:tblGrid>
      <w:tr w:rsidR="00FA65F8" w:rsidRPr="00A86036" w14:paraId="616EA023" w14:textId="77777777" w:rsidTr="00FC6081">
        <w:trPr>
          <w:trHeight w:val="255"/>
        </w:trPr>
        <w:tc>
          <w:tcPr>
            <w:tcW w:w="8894" w:type="dxa"/>
            <w:gridSpan w:val="11"/>
            <w:tcBorders>
              <w:bottom w:val="single" w:sz="8" w:space="0" w:color="0070C0"/>
            </w:tcBorders>
            <w:shd w:val="clear" w:color="auto" w:fill="0070C0"/>
          </w:tcPr>
          <w:p w14:paraId="02FDE609" w14:textId="77777777" w:rsidR="00FA65F8" w:rsidRPr="00A86036" w:rsidRDefault="00FA65F8" w:rsidP="00FC6081">
            <w:pPr>
              <w:jc w:val="center"/>
              <w:rPr>
                <w:rFonts w:eastAsia="Times New Roman" w:cs="Calibri"/>
                <w:b/>
                <w:bCs/>
                <w:color w:val="FFFFFF"/>
                <w:lang w:eastAsia="bg-BG"/>
              </w:rPr>
            </w:pPr>
            <w:r w:rsidRPr="00A86036">
              <w:rPr>
                <w:rFonts w:eastAsia="Times New Roman" w:cs="Calibri"/>
                <w:b/>
                <w:bCs/>
                <w:color w:val="FFFFFF"/>
                <w:lang w:eastAsia="bg-BG"/>
              </w:rPr>
              <w:t>Годишна инфлация, измерена чрез Индекс на потребителските цени, по години</w:t>
            </w:r>
          </w:p>
        </w:tc>
      </w:tr>
      <w:tr w:rsidR="00FA65F8" w:rsidRPr="00A86036" w14:paraId="3F30DE63" w14:textId="77777777" w:rsidTr="00FC6081">
        <w:trPr>
          <w:trHeight w:val="255"/>
        </w:trPr>
        <w:tc>
          <w:tcPr>
            <w:tcW w:w="806" w:type="dxa"/>
            <w:tcBorders>
              <w:right w:val="single" w:sz="8" w:space="0" w:color="0070C0"/>
            </w:tcBorders>
            <w:shd w:val="clear" w:color="auto" w:fill="auto"/>
            <w:vAlign w:val="center"/>
          </w:tcPr>
          <w:p w14:paraId="6C0259BF" w14:textId="77777777" w:rsidR="00FA65F8" w:rsidRPr="00A86036" w:rsidRDefault="00FA65F8" w:rsidP="00FC6081">
            <w:pPr>
              <w:jc w:val="center"/>
              <w:rPr>
                <w:rFonts w:eastAsia="Times New Roman" w:cs="Calibri"/>
                <w:b/>
                <w:bCs/>
                <w:lang w:eastAsia="bg-BG"/>
              </w:rPr>
            </w:pPr>
            <w:r w:rsidRPr="00A86036">
              <w:rPr>
                <w:rFonts w:eastAsia="Times New Roman" w:cs="Calibri"/>
                <w:b/>
                <w:bCs/>
                <w:lang w:eastAsia="bg-BG"/>
              </w:rPr>
              <w:t>2011 г.</w:t>
            </w:r>
          </w:p>
        </w:tc>
        <w:tc>
          <w:tcPr>
            <w:tcW w:w="842" w:type="dxa"/>
            <w:tcBorders>
              <w:left w:val="single" w:sz="8" w:space="0" w:color="0070C0"/>
              <w:right w:val="single" w:sz="8" w:space="0" w:color="0070C0"/>
            </w:tcBorders>
            <w:shd w:val="clear" w:color="auto" w:fill="auto"/>
            <w:vAlign w:val="center"/>
          </w:tcPr>
          <w:p w14:paraId="3139EEF8" w14:textId="77777777" w:rsidR="00FA65F8" w:rsidRPr="00A86036" w:rsidRDefault="00FA65F8" w:rsidP="00FC6081">
            <w:pPr>
              <w:jc w:val="center"/>
              <w:rPr>
                <w:rFonts w:eastAsia="Times New Roman" w:cs="Calibri"/>
                <w:b/>
                <w:bCs/>
                <w:lang w:eastAsia="bg-BG"/>
              </w:rPr>
            </w:pPr>
            <w:r w:rsidRPr="00A86036">
              <w:rPr>
                <w:rFonts w:eastAsia="Times New Roman" w:cs="Calibri"/>
                <w:b/>
                <w:bCs/>
                <w:lang w:val="en-US" w:eastAsia="bg-BG"/>
              </w:rPr>
              <w:t xml:space="preserve">2012 г. </w:t>
            </w:r>
          </w:p>
        </w:tc>
        <w:tc>
          <w:tcPr>
            <w:tcW w:w="806" w:type="dxa"/>
            <w:tcBorders>
              <w:left w:val="single" w:sz="8" w:space="0" w:color="0070C0"/>
              <w:right w:val="single" w:sz="8" w:space="0" w:color="0070C0"/>
            </w:tcBorders>
            <w:shd w:val="clear" w:color="auto" w:fill="auto"/>
            <w:vAlign w:val="center"/>
          </w:tcPr>
          <w:p w14:paraId="1691803B" w14:textId="77777777" w:rsidR="00FA65F8" w:rsidRPr="00A86036" w:rsidRDefault="00FA65F8" w:rsidP="00FC6081">
            <w:pPr>
              <w:jc w:val="center"/>
              <w:rPr>
                <w:rFonts w:eastAsia="Times New Roman" w:cs="Calibri"/>
                <w:b/>
                <w:bCs/>
                <w:lang w:eastAsia="bg-BG"/>
              </w:rPr>
            </w:pPr>
            <w:r w:rsidRPr="00A86036">
              <w:rPr>
                <w:rFonts w:eastAsia="Times New Roman" w:cs="Calibri"/>
                <w:b/>
                <w:bCs/>
                <w:lang w:eastAsia="bg-BG"/>
              </w:rPr>
              <w:t xml:space="preserve">2013 г. </w:t>
            </w:r>
          </w:p>
        </w:tc>
        <w:tc>
          <w:tcPr>
            <w:tcW w:w="805" w:type="dxa"/>
            <w:tcBorders>
              <w:left w:val="single" w:sz="8" w:space="0" w:color="0070C0"/>
              <w:right w:val="single" w:sz="8" w:space="0" w:color="0070C0"/>
            </w:tcBorders>
            <w:shd w:val="clear" w:color="auto" w:fill="auto"/>
            <w:vAlign w:val="center"/>
          </w:tcPr>
          <w:p w14:paraId="66F10CA1" w14:textId="77777777" w:rsidR="00FA65F8" w:rsidRPr="00A86036" w:rsidRDefault="00FA65F8" w:rsidP="00FC6081">
            <w:pPr>
              <w:jc w:val="center"/>
              <w:rPr>
                <w:rFonts w:eastAsia="Times New Roman" w:cs="Calibri"/>
                <w:b/>
                <w:bCs/>
                <w:lang w:eastAsia="bg-BG"/>
              </w:rPr>
            </w:pPr>
            <w:r w:rsidRPr="00A86036">
              <w:rPr>
                <w:rFonts w:eastAsia="Times New Roman" w:cs="Calibri"/>
                <w:b/>
                <w:bCs/>
                <w:lang w:eastAsia="bg-BG"/>
              </w:rPr>
              <w:t xml:space="preserve">2014 г. </w:t>
            </w:r>
          </w:p>
        </w:tc>
        <w:tc>
          <w:tcPr>
            <w:tcW w:w="805" w:type="dxa"/>
            <w:tcBorders>
              <w:left w:val="single" w:sz="8" w:space="0" w:color="0070C0"/>
              <w:right w:val="single" w:sz="8" w:space="0" w:color="0070C0"/>
            </w:tcBorders>
            <w:shd w:val="clear" w:color="auto" w:fill="auto"/>
            <w:vAlign w:val="center"/>
          </w:tcPr>
          <w:p w14:paraId="487E7B57" w14:textId="77777777" w:rsidR="00FA65F8" w:rsidRPr="00A86036" w:rsidRDefault="00FA65F8" w:rsidP="00FC6081">
            <w:pPr>
              <w:jc w:val="center"/>
              <w:rPr>
                <w:rFonts w:eastAsia="Times New Roman" w:cs="Calibri"/>
                <w:b/>
                <w:bCs/>
                <w:lang w:eastAsia="bg-BG"/>
              </w:rPr>
            </w:pPr>
            <w:r w:rsidRPr="00A86036">
              <w:rPr>
                <w:rFonts w:eastAsia="Times New Roman" w:cs="Calibri"/>
                <w:b/>
                <w:bCs/>
                <w:lang w:eastAsia="bg-BG"/>
              </w:rPr>
              <w:t>2015 г.</w:t>
            </w:r>
          </w:p>
        </w:tc>
        <w:tc>
          <w:tcPr>
            <w:tcW w:w="805" w:type="dxa"/>
            <w:tcBorders>
              <w:left w:val="single" w:sz="8" w:space="0" w:color="0070C0"/>
              <w:right w:val="single" w:sz="8" w:space="0" w:color="0070C0"/>
            </w:tcBorders>
            <w:shd w:val="clear" w:color="auto" w:fill="auto"/>
            <w:vAlign w:val="center"/>
          </w:tcPr>
          <w:p w14:paraId="374EA64D" w14:textId="77777777" w:rsidR="00FA65F8" w:rsidRPr="00A86036" w:rsidRDefault="00FA65F8" w:rsidP="00FC6081">
            <w:pPr>
              <w:jc w:val="center"/>
              <w:rPr>
                <w:rFonts w:eastAsia="Times New Roman" w:cs="Calibri"/>
                <w:b/>
                <w:bCs/>
                <w:lang w:eastAsia="bg-BG"/>
              </w:rPr>
            </w:pPr>
            <w:r w:rsidRPr="00A86036">
              <w:rPr>
                <w:rFonts w:eastAsia="Times New Roman" w:cs="Calibri"/>
                <w:b/>
                <w:bCs/>
                <w:lang w:eastAsia="bg-BG"/>
              </w:rPr>
              <w:t>2016 г.</w:t>
            </w:r>
          </w:p>
        </w:tc>
        <w:tc>
          <w:tcPr>
            <w:tcW w:w="805" w:type="dxa"/>
            <w:tcBorders>
              <w:left w:val="single" w:sz="8" w:space="0" w:color="0070C0"/>
              <w:right w:val="single" w:sz="8" w:space="0" w:color="0070C0"/>
            </w:tcBorders>
            <w:shd w:val="clear" w:color="auto" w:fill="auto"/>
            <w:vAlign w:val="center"/>
          </w:tcPr>
          <w:p w14:paraId="5F4EAED0" w14:textId="77777777" w:rsidR="00FA65F8" w:rsidRPr="00A86036" w:rsidRDefault="00FA65F8" w:rsidP="00FC6081">
            <w:pPr>
              <w:jc w:val="center"/>
              <w:rPr>
                <w:rFonts w:eastAsia="Times New Roman" w:cs="Calibri"/>
                <w:b/>
                <w:bCs/>
                <w:lang w:eastAsia="bg-BG"/>
              </w:rPr>
            </w:pPr>
            <w:r w:rsidRPr="00A86036">
              <w:rPr>
                <w:rFonts w:eastAsia="Times New Roman" w:cs="Calibri"/>
                <w:b/>
                <w:bCs/>
                <w:lang w:eastAsia="bg-BG"/>
              </w:rPr>
              <w:t>2017 г.</w:t>
            </w:r>
          </w:p>
        </w:tc>
        <w:tc>
          <w:tcPr>
            <w:tcW w:w="805" w:type="dxa"/>
            <w:tcBorders>
              <w:left w:val="single" w:sz="8" w:space="0" w:color="0070C0"/>
              <w:right w:val="single" w:sz="8" w:space="0" w:color="0070C0"/>
            </w:tcBorders>
            <w:shd w:val="clear" w:color="auto" w:fill="auto"/>
            <w:vAlign w:val="center"/>
          </w:tcPr>
          <w:p w14:paraId="68954F68" w14:textId="77777777" w:rsidR="00FA65F8" w:rsidRPr="00A86036" w:rsidRDefault="00FA65F8" w:rsidP="00FC6081">
            <w:pPr>
              <w:jc w:val="center"/>
              <w:rPr>
                <w:rFonts w:eastAsia="Times New Roman" w:cs="Calibri"/>
                <w:b/>
                <w:bCs/>
                <w:lang w:eastAsia="bg-BG"/>
              </w:rPr>
            </w:pPr>
            <w:r w:rsidRPr="00A86036">
              <w:rPr>
                <w:rFonts w:eastAsia="Times New Roman" w:cs="Calibri"/>
                <w:b/>
                <w:bCs/>
                <w:lang w:eastAsia="bg-BG"/>
              </w:rPr>
              <w:t>20</w:t>
            </w:r>
            <w:r w:rsidRPr="00A86036">
              <w:rPr>
                <w:rFonts w:eastAsia="Times New Roman" w:cs="Calibri"/>
                <w:b/>
                <w:bCs/>
                <w:lang w:val="en-US" w:eastAsia="bg-BG"/>
              </w:rPr>
              <w:t>1</w:t>
            </w:r>
            <w:r w:rsidRPr="00A86036">
              <w:rPr>
                <w:rFonts w:eastAsia="Times New Roman" w:cs="Calibri"/>
                <w:b/>
                <w:bCs/>
                <w:lang w:eastAsia="bg-BG"/>
              </w:rPr>
              <w:t>8 г.</w:t>
            </w:r>
          </w:p>
        </w:tc>
        <w:tc>
          <w:tcPr>
            <w:tcW w:w="805" w:type="dxa"/>
            <w:tcBorders>
              <w:left w:val="single" w:sz="8" w:space="0" w:color="0070C0"/>
              <w:right w:val="single" w:sz="8" w:space="0" w:color="0070C0"/>
            </w:tcBorders>
            <w:shd w:val="clear" w:color="auto" w:fill="auto"/>
            <w:vAlign w:val="center"/>
          </w:tcPr>
          <w:p w14:paraId="43142D8F" w14:textId="77777777" w:rsidR="00FA65F8" w:rsidRPr="00A86036" w:rsidRDefault="00FA65F8" w:rsidP="00FC6081">
            <w:pPr>
              <w:jc w:val="center"/>
              <w:rPr>
                <w:rFonts w:eastAsia="Times New Roman" w:cs="Calibri"/>
                <w:b/>
                <w:bCs/>
                <w:lang w:eastAsia="bg-BG"/>
              </w:rPr>
            </w:pPr>
            <w:r w:rsidRPr="00A86036">
              <w:rPr>
                <w:rFonts w:eastAsia="Times New Roman" w:cs="Calibri"/>
                <w:b/>
                <w:bCs/>
                <w:lang w:eastAsia="bg-BG"/>
              </w:rPr>
              <w:t>20</w:t>
            </w:r>
            <w:r w:rsidRPr="00A86036">
              <w:rPr>
                <w:rFonts w:eastAsia="Times New Roman" w:cs="Calibri"/>
                <w:b/>
                <w:bCs/>
                <w:lang w:val="en-US" w:eastAsia="bg-BG"/>
              </w:rPr>
              <w:t>1</w:t>
            </w:r>
            <w:r w:rsidRPr="00A86036">
              <w:rPr>
                <w:rFonts w:eastAsia="Times New Roman" w:cs="Calibri"/>
                <w:b/>
                <w:bCs/>
                <w:lang w:eastAsia="bg-BG"/>
              </w:rPr>
              <w:t>9 г.</w:t>
            </w:r>
          </w:p>
        </w:tc>
        <w:tc>
          <w:tcPr>
            <w:tcW w:w="805" w:type="dxa"/>
            <w:tcBorders>
              <w:left w:val="single" w:sz="8" w:space="0" w:color="0070C0"/>
              <w:right w:val="single" w:sz="8" w:space="0" w:color="0070C0"/>
            </w:tcBorders>
            <w:vAlign w:val="center"/>
          </w:tcPr>
          <w:p w14:paraId="7824AC8D" w14:textId="77777777" w:rsidR="00FA65F8" w:rsidRPr="00A86036" w:rsidRDefault="00FA65F8" w:rsidP="00FC6081">
            <w:pPr>
              <w:jc w:val="center"/>
              <w:rPr>
                <w:rFonts w:eastAsia="Times New Roman" w:cs="Calibri"/>
                <w:b/>
                <w:bCs/>
                <w:lang w:eastAsia="bg-BG"/>
              </w:rPr>
            </w:pPr>
            <w:r w:rsidRPr="00A86036">
              <w:rPr>
                <w:rFonts w:eastAsia="Times New Roman" w:cs="Calibri"/>
                <w:b/>
                <w:bCs/>
                <w:lang w:eastAsia="bg-BG"/>
              </w:rPr>
              <w:t>2020 г.</w:t>
            </w:r>
          </w:p>
        </w:tc>
        <w:tc>
          <w:tcPr>
            <w:tcW w:w="805" w:type="dxa"/>
            <w:tcBorders>
              <w:left w:val="single" w:sz="8" w:space="0" w:color="0070C0"/>
            </w:tcBorders>
            <w:shd w:val="clear" w:color="auto" w:fill="auto"/>
            <w:vAlign w:val="center"/>
          </w:tcPr>
          <w:p w14:paraId="31FC82C0" w14:textId="77777777" w:rsidR="00FA65F8" w:rsidRPr="00A86036" w:rsidRDefault="00FA65F8" w:rsidP="00FC6081">
            <w:pPr>
              <w:jc w:val="center"/>
              <w:rPr>
                <w:rFonts w:eastAsia="Times New Roman" w:cs="Calibri"/>
                <w:b/>
                <w:bCs/>
                <w:lang w:eastAsia="bg-BG"/>
              </w:rPr>
            </w:pPr>
            <w:r w:rsidRPr="00A86036">
              <w:rPr>
                <w:rFonts w:eastAsia="Times New Roman" w:cs="Calibri"/>
                <w:b/>
                <w:bCs/>
                <w:lang w:eastAsia="bg-BG"/>
              </w:rPr>
              <w:t>2021 г.</w:t>
            </w:r>
          </w:p>
        </w:tc>
      </w:tr>
      <w:tr w:rsidR="00FA65F8" w:rsidRPr="00A86036" w14:paraId="64A6DE70" w14:textId="77777777" w:rsidTr="00FC6081">
        <w:trPr>
          <w:trHeight w:val="270"/>
        </w:trPr>
        <w:tc>
          <w:tcPr>
            <w:tcW w:w="806" w:type="dxa"/>
            <w:tcBorders>
              <w:right w:val="single" w:sz="8" w:space="0" w:color="0070C0"/>
            </w:tcBorders>
            <w:shd w:val="clear" w:color="auto" w:fill="auto"/>
            <w:vAlign w:val="center"/>
          </w:tcPr>
          <w:p w14:paraId="50D03F40" w14:textId="77777777" w:rsidR="00FA65F8" w:rsidRPr="00A86036" w:rsidRDefault="00FA65F8" w:rsidP="00FC6081">
            <w:pPr>
              <w:jc w:val="center"/>
              <w:rPr>
                <w:rFonts w:eastAsia="Times New Roman" w:cs="Calibri"/>
                <w:lang w:eastAsia="bg-BG"/>
              </w:rPr>
            </w:pPr>
            <w:r w:rsidRPr="00A86036">
              <w:rPr>
                <w:rFonts w:eastAsia="Times New Roman" w:cs="Calibri"/>
                <w:lang w:eastAsia="bg-BG"/>
              </w:rPr>
              <w:t>2.80%</w:t>
            </w:r>
          </w:p>
        </w:tc>
        <w:tc>
          <w:tcPr>
            <w:tcW w:w="842" w:type="dxa"/>
            <w:tcBorders>
              <w:left w:val="single" w:sz="8" w:space="0" w:color="0070C0"/>
              <w:right w:val="single" w:sz="8" w:space="0" w:color="0070C0"/>
            </w:tcBorders>
            <w:shd w:val="clear" w:color="auto" w:fill="auto"/>
            <w:vAlign w:val="center"/>
          </w:tcPr>
          <w:p w14:paraId="6017586F" w14:textId="77777777" w:rsidR="00FA65F8" w:rsidRPr="00A86036" w:rsidRDefault="00FA65F8" w:rsidP="00FC6081">
            <w:pPr>
              <w:jc w:val="center"/>
              <w:rPr>
                <w:rFonts w:eastAsia="Times New Roman" w:cs="Calibri"/>
                <w:lang w:eastAsia="bg-BG"/>
              </w:rPr>
            </w:pPr>
            <w:r w:rsidRPr="00A86036">
              <w:rPr>
                <w:rFonts w:eastAsia="Times New Roman" w:cs="Calibri"/>
                <w:lang w:val="en-US" w:eastAsia="bg-BG"/>
              </w:rPr>
              <w:t>4.20%</w:t>
            </w:r>
          </w:p>
        </w:tc>
        <w:tc>
          <w:tcPr>
            <w:tcW w:w="806" w:type="dxa"/>
            <w:tcBorders>
              <w:left w:val="single" w:sz="8" w:space="0" w:color="0070C0"/>
              <w:right w:val="single" w:sz="8" w:space="0" w:color="0070C0"/>
            </w:tcBorders>
            <w:shd w:val="clear" w:color="auto" w:fill="auto"/>
            <w:vAlign w:val="center"/>
          </w:tcPr>
          <w:p w14:paraId="7AA88086" w14:textId="77777777" w:rsidR="00FA65F8" w:rsidRPr="00A86036" w:rsidRDefault="00FA65F8" w:rsidP="00FC6081">
            <w:pPr>
              <w:jc w:val="center"/>
              <w:rPr>
                <w:rFonts w:eastAsia="Times New Roman" w:cs="Calibri"/>
                <w:lang w:eastAsia="bg-BG"/>
              </w:rPr>
            </w:pPr>
            <w:r w:rsidRPr="00A86036">
              <w:rPr>
                <w:rFonts w:eastAsia="Times New Roman" w:cs="Calibri"/>
                <w:lang w:val="en-US" w:eastAsia="bg-BG"/>
              </w:rPr>
              <w:t>-1.60%</w:t>
            </w:r>
          </w:p>
        </w:tc>
        <w:tc>
          <w:tcPr>
            <w:tcW w:w="805" w:type="dxa"/>
            <w:tcBorders>
              <w:left w:val="single" w:sz="8" w:space="0" w:color="0070C0"/>
              <w:right w:val="single" w:sz="8" w:space="0" w:color="0070C0"/>
            </w:tcBorders>
            <w:shd w:val="clear" w:color="auto" w:fill="auto"/>
            <w:vAlign w:val="center"/>
          </w:tcPr>
          <w:p w14:paraId="2D578B98" w14:textId="77777777" w:rsidR="00FA65F8" w:rsidRPr="00A86036" w:rsidRDefault="00FA65F8" w:rsidP="00FC6081">
            <w:pPr>
              <w:jc w:val="center"/>
              <w:rPr>
                <w:rFonts w:eastAsia="Times New Roman" w:cs="Calibri"/>
                <w:lang w:eastAsia="bg-BG"/>
              </w:rPr>
            </w:pPr>
            <w:r w:rsidRPr="00A86036">
              <w:rPr>
                <w:rFonts w:eastAsia="Times New Roman" w:cs="Calibri"/>
                <w:lang w:eastAsia="bg-BG"/>
              </w:rPr>
              <w:t>-0.90%</w:t>
            </w:r>
          </w:p>
        </w:tc>
        <w:tc>
          <w:tcPr>
            <w:tcW w:w="805" w:type="dxa"/>
            <w:tcBorders>
              <w:left w:val="single" w:sz="8" w:space="0" w:color="0070C0"/>
              <w:right w:val="single" w:sz="8" w:space="0" w:color="0070C0"/>
            </w:tcBorders>
            <w:shd w:val="clear" w:color="auto" w:fill="auto"/>
            <w:vAlign w:val="center"/>
          </w:tcPr>
          <w:p w14:paraId="129303E3" w14:textId="77777777" w:rsidR="00FA65F8" w:rsidRPr="00A86036" w:rsidRDefault="00FA65F8" w:rsidP="00FC6081">
            <w:pPr>
              <w:jc w:val="center"/>
              <w:rPr>
                <w:rFonts w:eastAsia="Times New Roman" w:cs="Calibri"/>
                <w:lang w:eastAsia="bg-BG"/>
              </w:rPr>
            </w:pPr>
            <w:r w:rsidRPr="00A86036">
              <w:rPr>
                <w:rFonts w:eastAsia="Times New Roman" w:cs="Calibri"/>
                <w:lang w:eastAsia="bg-BG"/>
              </w:rPr>
              <w:t>-0.40%</w:t>
            </w:r>
          </w:p>
        </w:tc>
        <w:tc>
          <w:tcPr>
            <w:tcW w:w="805" w:type="dxa"/>
            <w:tcBorders>
              <w:left w:val="single" w:sz="8" w:space="0" w:color="0070C0"/>
              <w:right w:val="single" w:sz="8" w:space="0" w:color="0070C0"/>
            </w:tcBorders>
            <w:shd w:val="clear" w:color="auto" w:fill="auto"/>
            <w:vAlign w:val="center"/>
          </w:tcPr>
          <w:p w14:paraId="2D08E1C0" w14:textId="77777777" w:rsidR="00FA65F8" w:rsidRPr="00A86036" w:rsidRDefault="00FA65F8" w:rsidP="00FC6081">
            <w:pPr>
              <w:jc w:val="center"/>
              <w:rPr>
                <w:rFonts w:eastAsia="Times New Roman" w:cs="Calibri"/>
                <w:lang w:eastAsia="bg-BG"/>
              </w:rPr>
            </w:pPr>
            <w:r w:rsidRPr="00A86036">
              <w:rPr>
                <w:rFonts w:eastAsia="Times New Roman" w:cs="Calibri"/>
                <w:lang w:eastAsia="bg-BG"/>
              </w:rPr>
              <w:t>-0.80%</w:t>
            </w:r>
          </w:p>
        </w:tc>
        <w:tc>
          <w:tcPr>
            <w:tcW w:w="805" w:type="dxa"/>
            <w:tcBorders>
              <w:left w:val="single" w:sz="8" w:space="0" w:color="0070C0"/>
              <w:right w:val="single" w:sz="8" w:space="0" w:color="0070C0"/>
            </w:tcBorders>
            <w:shd w:val="clear" w:color="auto" w:fill="auto"/>
            <w:vAlign w:val="center"/>
          </w:tcPr>
          <w:p w14:paraId="48C944C3" w14:textId="77777777" w:rsidR="00FA65F8" w:rsidRPr="00A86036" w:rsidRDefault="00FA65F8" w:rsidP="00FC6081">
            <w:pPr>
              <w:jc w:val="center"/>
              <w:rPr>
                <w:rFonts w:eastAsia="Times New Roman" w:cs="Calibri"/>
                <w:lang w:eastAsia="bg-BG"/>
              </w:rPr>
            </w:pPr>
            <w:r w:rsidRPr="00A86036">
              <w:rPr>
                <w:rFonts w:eastAsia="Times New Roman" w:cs="Calibri"/>
                <w:lang w:eastAsia="bg-BG"/>
              </w:rPr>
              <w:t>2,1%</w:t>
            </w:r>
          </w:p>
        </w:tc>
        <w:tc>
          <w:tcPr>
            <w:tcW w:w="805" w:type="dxa"/>
            <w:tcBorders>
              <w:left w:val="single" w:sz="8" w:space="0" w:color="0070C0"/>
              <w:right w:val="single" w:sz="8" w:space="0" w:color="0070C0"/>
            </w:tcBorders>
            <w:shd w:val="clear" w:color="auto" w:fill="auto"/>
            <w:vAlign w:val="center"/>
          </w:tcPr>
          <w:p w14:paraId="6C5FC7A7" w14:textId="77777777" w:rsidR="00FA65F8" w:rsidRPr="00A86036" w:rsidRDefault="00FA65F8" w:rsidP="00FC6081">
            <w:pPr>
              <w:jc w:val="center"/>
              <w:rPr>
                <w:rFonts w:eastAsia="Times New Roman" w:cs="Calibri"/>
                <w:lang w:eastAsia="bg-BG"/>
              </w:rPr>
            </w:pPr>
            <w:r w:rsidRPr="00A86036">
              <w:rPr>
                <w:rFonts w:eastAsia="Times New Roman" w:cs="Calibri"/>
                <w:lang w:eastAsia="bg-BG"/>
              </w:rPr>
              <w:t>2,8%</w:t>
            </w:r>
          </w:p>
        </w:tc>
        <w:tc>
          <w:tcPr>
            <w:tcW w:w="805" w:type="dxa"/>
            <w:tcBorders>
              <w:left w:val="single" w:sz="8" w:space="0" w:color="0070C0"/>
              <w:right w:val="single" w:sz="8" w:space="0" w:color="0070C0"/>
            </w:tcBorders>
            <w:shd w:val="clear" w:color="auto" w:fill="auto"/>
            <w:vAlign w:val="center"/>
          </w:tcPr>
          <w:p w14:paraId="317B3134" w14:textId="77777777" w:rsidR="00FA65F8" w:rsidRPr="00A86036" w:rsidRDefault="00FA65F8" w:rsidP="00FC6081">
            <w:pPr>
              <w:jc w:val="center"/>
              <w:rPr>
                <w:rFonts w:eastAsia="Times New Roman" w:cs="Calibri"/>
                <w:lang w:eastAsia="bg-BG"/>
              </w:rPr>
            </w:pPr>
            <w:r w:rsidRPr="00A86036">
              <w:rPr>
                <w:rFonts w:eastAsia="Times New Roman" w:cs="Calibri"/>
                <w:lang w:eastAsia="bg-BG"/>
              </w:rPr>
              <w:t>4,2%</w:t>
            </w:r>
          </w:p>
        </w:tc>
        <w:tc>
          <w:tcPr>
            <w:tcW w:w="805" w:type="dxa"/>
            <w:tcBorders>
              <w:left w:val="single" w:sz="8" w:space="0" w:color="0070C0"/>
              <w:right w:val="single" w:sz="8" w:space="0" w:color="0070C0"/>
            </w:tcBorders>
            <w:vAlign w:val="center"/>
          </w:tcPr>
          <w:p w14:paraId="5E1B6225" w14:textId="77777777" w:rsidR="00FA65F8" w:rsidRPr="00A86036" w:rsidRDefault="00FA65F8" w:rsidP="00FC6081">
            <w:pPr>
              <w:jc w:val="center"/>
              <w:rPr>
                <w:rFonts w:eastAsia="Times New Roman" w:cs="Calibri"/>
                <w:lang w:eastAsia="bg-BG"/>
              </w:rPr>
            </w:pPr>
            <w:r w:rsidRPr="00A86036">
              <w:rPr>
                <w:rFonts w:eastAsia="Times New Roman" w:cs="Calibri"/>
                <w:lang w:eastAsia="bg-BG"/>
              </w:rPr>
              <w:t>1,7 %</w:t>
            </w:r>
          </w:p>
        </w:tc>
        <w:tc>
          <w:tcPr>
            <w:tcW w:w="805" w:type="dxa"/>
            <w:tcBorders>
              <w:left w:val="single" w:sz="8" w:space="0" w:color="0070C0"/>
            </w:tcBorders>
            <w:shd w:val="clear" w:color="auto" w:fill="auto"/>
            <w:vAlign w:val="center"/>
          </w:tcPr>
          <w:p w14:paraId="5B90FF81" w14:textId="77777777" w:rsidR="00FA65F8" w:rsidRPr="00A86036" w:rsidRDefault="00FA65F8" w:rsidP="00FC6081">
            <w:pPr>
              <w:jc w:val="center"/>
              <w:rPr>
                <w:rFonts w:eastAsia="Times New Roman" w:cs="Calibri"/>
                <w:lang w:eastAsia="bg-BG"/>
              </w:rPr>
            </w:pPr>
            <w:r w:rsidRPr="00A86036">
              <w:rPr>
                <w:rFonts w:eastAsia="Times New Roman" w:cs="Calibri"/>
                <w:lang w:eastAsia="bg-BG"/>
              </w:rPr>
              <w:t>7,8%</w:t>
            </w:r>
          </w:p>
        </w:tc>
      </w:tr>
    </w:tbl>
    <w:p w14:paraId="70B06213" w14:textId="77777777" w:rsidR="00FA65F8" w:rsidRPr="00A86036" w:rsidRDefault="00FA65F8" w:rsidP="00FA65F8">
      <w:pPr>
        <w:pStyle w:val="BodyTextIndent"/>
        <w:ind w:left="2880" w:right="284"/>
        <w:jc w:val="right"/>
        <w:rPr>
          <w:i/>
          <w:color w:val="0070C0"/>
          <w:lang w:val="en-US"/>
        </w:rPr>
      </w:pPr>
      <w:r w:rsidRPr="00A86036">
        <w:rPr>
          <w:i/>
          <w:color w:val="0070C0"/>
          <w:lang w:val="en-US"/>
        </w:rPr>
        <w:t>www.nsi.bg</w:t>
      </w:r>
    </w:p>
    <w:p w14:paraId="39AF689E" w14:textId="77777777" w:rsidR="00FA65F8" w:rsidRPr="00A86036" w:rsidRDefault="00FA65F8" w:rsidP="00FA65F8">
      <w:pPr>
        <w:pStyle w:val="BodyTextIndent"/>
        <w:spacing w:after="0"/>
        <w:ind w:left="0" w:right="-1"/>
        <w:jc w:val="both"/>
        <w:rPr>
          <w:rFonts w:cs="Arial"/>
        </w:rPr>
      </w:pPr>
      <w:r>
        <w:rPr>
          <w:rFonts w:cs="Arial"/>
        </w:rPr>
        <w:t xml:space="preserve">         </w:t>
      </w:r>
      <w:r w:rsidRPr="00A86036">
        <w:rPr>
          <w:rFonts w:cs="Arial"/>
        </w:rPr>
        <w:t>Очакванията са инфлационната вълна шумно да се разбие в брега</w:t>
      </w:r>
      <w:r w:rsidRPr="00A86036">
        <w:rPr>
          <w:rStyle w:val="FootnoteReference"/>
          <w:rFonts w:cs="Arial"/>
        </w:rPr>
        <w:footnoteReference w:id="3"/>
      </w:r>
      <w:r w:rsidRPr="00A86036">
        <w:rPr>
          <w:rFonts w:cs="Arial"/>
        </w:rPr>
        <w:t xml:space="preserve"> и да се оттегли през пролетта на 2022 г. Въпросът обаче е, че има риск (и той съвсем не е за подценяване) тази прогноза да не се сбъдне и по-високата инфлация да се задържи за по-дълго време: заради пренастройване на работни процеси след ковид кризата и липса на служители за тях, по-бавно възстановяване на някои доставки или пък закъсняло изтегляне на стимулите от страна на централните банки и правителствата.</w:t>
      </w:r>
    </w:p>
    <w:p w14:paraId="194D36AA" w14:textId="77777777" w:rsidR="00FA65F8" w:rsidRPr="00A86036" w:rsidRDefault="00FA65F8" w:rsidP="00FA65F8">
      <w:pPr>
        <w:pStyle w:val="BodyTextIndent"/>
        <w:spacing w:after="0"/>
        <w:ind w:left="0" w:right="-1"/>
        <w:jc w:val="both"/>
        <w:rPr>
          <w:rFonts w:cs="Arial"/>
        </w:rPr>
      </w:pPr>
      <w:r>
        <w:rPr>
          <w:rFonts w:cs="Arial"/>
        </w:rPr>
        <w:t xml:space="preserve">        </w:t>
      </w:r>
      <w:r w:rsidRPr="00A86036">
        <w:rPr>
          <w:rFonts w:cs="Arial"/>
        </w:rPr>
        <w:t xml:space="preserve">Всички тези фактори са глобални. Като малка и отворена икономика, която освен това няма и собствена парична политика обаче, България разполага с много по-ограничен набор от мерки, с </w:t>
      </w:r>
      <w:r w:rsidRPr="00A86036">
        <w:rPr>
          <w:rFonts w:cs="Arial"/>
        </w:rPr>
        <w:lastRenderedPageBreak/>
        <w:t>които да противодейства на "вноса" на инфлация. А и страната е след нови избори, протича процеса на обсъждане на Бюджет 2022 и логично натискът за осезаемо увеличение на доходите (което също може да подхрани инфлацията) се засилва.</w:t>
      </w:r>
    </w:p>
    <w:p w14:paraId="4236D340" w14:textId="1BD1D82D" w:rsidR="00FA65F8" w:rsidRDefault="00FA65F8" w:rsidP="00FA65F8">
      <w:pPr>
        <w:pStyle w:val="BodyTextIndent"/>
        <w:spacing w:after="0"/>
        <w:ind w:left="0" w:right="-1"/>
        <w:jc w:val="both"/>
        <w:rPr>
          <w:rFonts w:cs="Arial"/>
        </w:rPr>
      </w:pPr>
      <w:r>
        <w:rPr>
          <w:rFonts w:cs="Arial"/>
        </w:rPr>
        <w:t xml:space="preserve">        </w:t>
      </w:r>
      <w:r w:rsidRPr="00A86036">
        <w:rPr>
          <w:rFonts w:cs="Arial"/>
        </w:rPr>
        <w:t>Увеличението на инфлацията вече много трудно може да бъде овладяно вследствие на конфликта Русия-Украйна. Икономистите прогнозират тя да достигне нива до 20%, които ще дойдат през ръста на цените на енергийни ресурси и метали. Това означава една пета загуба от всеки лев.</w:t>
      </w:r>
    </w:p>
    <w:p w14:paraId="5C5EFFDA" w14:textId="77777777" w:rsidR="00FA65F8" w:rsidRPr="00A86036" w:rsidRDefault="00FA65F8" w:rsidP="00FA65F8">
      <w:pPr>
        <w:pStyle w:val="BodyTextIndent"/>
        <w:spacing w:after="0"/>
        <w:ind w:left="0" w:right="-1"/>
        <w:jc w:val="both"/>
        <w:rPr>
          <w:rFonts w:cs="Arial"/>
        </w:rPr>
      </w:pPr>
    </w:p>
    <w:p w14:paraId="4C5320A1" w14:textId="3ED2108D" w:rsidR="00FA65F8" w:rsidRPr="00044A64" w:rsidRDefault="00FA65F8" w:rsidP="00FA65F8">
      <w:pPr>
        <w:pStyle w:val="BodyTextIndent"/>
        <w:spacing w:after="0"/>
        <w:ind w:left="284" w:right="-1"/>
        <w:jc w:val="both"/>
        <w:rPr>
          <w:rFonts w:cs="Arial"/>
          <w:b/>
          <w:i/>
          <w:iCs/>
          <w:color w:val="FF6600"/>
        </w:rPr>
      </w:pPr>
      <w:r w:rsidRPr="00044A64">
        <w:rPr>
          <w:rFonts w:cs="Arial"/>
          <w:i/>
          <w:iCs/>
          <w:color w:val="FF6600"/>
        </w:rPr>
        <w:t>*</w:t>
      </w:r>
      <w:r>
        <w:rPr>
          <w:rFonts w:cs="Arial"/>
          <w:i/>
          <w:iCs/>
        </w:rPr>
        <w:t xml:space="preserve"> </w:t>
      </w:r>
      <w:r w:rsidRPr="00A86036">
        <w:rPr>
          <w:rFonts w:cs="Arial"/>
          <w:i/>
          <w:iCs/>
        </w:rPr>
        <w:t xml:space="preserve">На база посоченото по-горе и правителствената прогноза за намаляване на инфлацията през следващата година, към момента на изготвяне на настоящата програма за развитието и дейността на „ДКЦ </w:t>
      </w:r>
      <w:r>
        <w:rPr>
          <w:rFonts w:cs="Arial"/>
          <w:i/>
          <w:iCs/>
        </w:rPr>
        <w:t>Чайка</w:t>
      </w:r>
      <w:r w:rsidRPr="00A86036">
        <w:rPr>
          <w:rFonts w:cs="Arial"/>
          <w:i/>
          <w:iCs/>
        </w:rPr>
        <w:t xml:space="preserve"> </w:t>
      </w:r>
      <w:r>
        <w:rPr>
          <w:rFonts w:cs="Arial"/>
          <w:i/>
          <w:iCs/>
        </w:rPr>
        <w:t>Чайка</w:t>
      </w:r>
      <w:r w:rsidRPr="00A86036">
        <w:rPr>
          <w:rFonts w:cs="Arial"/>
          <w:i/>
          <w:iCs/>
        </w:rPr>
        <w:t xml:space="preserve">” ЕООД оценяваме инфлационния  риск като:  </w:t>
      </w:r>
      <w:r>
        <w:rPr>
          <w:rFonts w:cs="Arial"/>
          <w:b/>
          <w:i/>
          <w:iCs/>
          <w:color w:val="FF6600"/>
        </w:rPr>
        <w:t>висок</w:t>
      </w:r>
      <w:r w:rsidRPr="00044A64">
        <w:rPr>
          <w:rFonts w:cs="Arial"/>
          <w:b/>
          <w:i/>
          <w:iCs/>
          <w:color w:val="FF6600"/>
        </w:rPr>
        <w:t>.</w:t>
      </w:r>
    </w:p>
    <w:p w14:paraId="2C17AD49" w14:textId="77777777" w:rsidR="00FA65F8" w:rsidRDefault="00FA65F8" w:rsidP="00FA65F8"/>
    <w:p w14:paraId="235F9978" w14:textId="77777777" w:rsidR="00FA65F8" w:rsidRPr="00B17CA0" w:rsidRDefault="00FA65F8" w:rsidP="00FA65F8">
      <w:pPr>
        <w:pStyle w:val="BodyTextIndent"/>
        <w:numPr>
          <w:ilvl w:val="0"/>
          <w:numId w:val="6"/>
        </w:numPr>
        <w:tabs>
          <w:tab w:val="num" w:pos="567"/>
        </w:tabs>
        <w:spacing w:after="0"/>
        <w:ind w:left="567" w:hanging="283"/>
        <w:jc w:val="both"/>
        <w:rPr>
          <w:b/>
        </w:rPr>
      </w:pPr>
      <w:r w:rsidRPr="00B17CA0">
        <w:rPr>
          <w:b/>
        </w:rPr>
        <w:t>Риск от лицензионни режими:</w:t>
      </w:r>
    </w:p>
    <w:p w14:paraId="258F632B" w14:textId="77777777" w:rsidR="00FA65F8" w:rsidRPr="00B17CA0" w:rsidRDefault="00FA65F8" w:rsidP="00FA65F8">
      <w:pPr>
        <w:pStyle w:val="BodyText"/>
        <w:jc w:val="both"/>
        <w:rPr>
          <w:rFonts w:ascii="Calibri" w:hAnsi="Calibri"/>
          <w:sz w:val="22"/>
          <w:szCs w:val="22"/>
        </w:rPr>
      </w:pPr>
      <w:r>
        <w:rPr>
          <w:rFonts w:ascii="Calibri" w:hAnsi="Calibri"/>
          <w:sz w:val="22"/>
          <w:szCs w:val="22"/>
        </w:rPr>
        <w:t xml:space="preserve">           </w:t>
      </w:r>
      <w:r w:rsidRPr="00B17CA0">
        <w:rPr>
          <w:rFonts w:ascii="Calibri" w:hAnsi="Calibri"/>
          <w:sz w:val="22"/>
          <w:szCs w:val="22"/>
        </w:rPr>
        <w:t>Отговорните власти провеждат политика по намаляване броя на отежняващите лицензии и разрешителни,</w:t>
      </w:r>
      <w:r w:rsidRPr="00B17CA0">
        <w:rPr>
          <w:sz w:val="22"/>
          <w:szCs w:val="22"/>
        </w:rPr>
        <w:t xml:space="preserve"> </w:t>
      </w:r>
      <w:r w:rsidRPr="00B17CA0">
        <w:rPr>
          <w:rFonts w:ascii="Calibri" w:hAnsi="Calibri"/>
          <w:sz w:val="22"/>
          <w:szCs w:val="22"/>
        </w:rPr>
        <w:t>и опростяване на тези, които останат в сила. Това ще окаже благоприятно влияние върху ограничаването на бюрокрацията и корупционните практики. Създадена е и информационна система - административен регистър на регулаторните режими (лицензионни, разрешителни, регистрационни, съгласувателни).</w:t>
      </w:r>
    </w:p>
    <w:p w14:paraId="08DC228B" w14:textId="77777777" w:rsidR="00FA65F8" w:rsidRPr="00A86036" w:rsidRDefault="00FA65F8" w:rsidP="00FA65F8">
      <w:pPr>
        <w:pStyle w:val="BodyTextIndent"/>
        <w:spacing w:after="0"/>
        <w:ind w:left="0" w:right="-1"/>
        <w:jc w:val="both"/>
        <w:rPr>
          <w:rFonts w:cs="Arial"/>
        </w:rPr>
      </w:pPr>
      <w:r>
        <w:rPr>
          <w:rFonts w:cs="Arial"/>
        </w:rPr>
        <w:t xml:space="preserve">           </w:t>
      </w:r>
      <w:r w:rsidRPr="00A86036">
        <w:rPr>
          <w:rFonts w:cs="Arial"/>
        </w:rPr>
        <w:t>Здравеопазването в България е обект на почти пълна регулация – регулират се цените на клиничните пътеки, цените на лекарствените продукти, включително тези без лекарско предписание, съществуват един куп лицензионни и регистрационни режими за упражняване на професията индивидуално, групова практика или като лечебно заведение. Правното регулиране в здравеопазването е част от действащото законодателството в страната и цели регулация на обществените отношения в системата на здравеопазването и задължителните правила за поведение. Тези правила намират израз под формата на нормативни актове (закони, наредби, постановления, заповеди, правилници и инструкции) и медицински стандарти и медицински критерии , които очертават правата, задълженията и отговорностите в обществото, държавното и общинското управление.</w:t>
      </w:r>
    </w:p>
    <w:p w14:paraId="0025F1A3" w14:textId="427C6F72" w:rsidR="00FA65F8" w:rsidRPr="00A422DD" w:rsidRDefault="00FA65F8" w:rsidP="00FA65F8">
      <w:pPr>
        <w:pStyle w:val="BodyTextIndent"/>
        <w:spacing w:after="0"/>
        <w:ind w:left="284" w:right="-1"/>
        <w:jc w:val="both"/>
        <w:rPr>
          <w:rFonts w:cs="Arial"/>
          <w:b/>
          <w:i/>
          <w:iCs/>
          <w:color w:val="FF6600"/>
        </w:rPr>
      </w:pPr>
      <w:r w:rsidRPr="00A422DD">
        <w:rPr>
          <w:rFonts w:cs="Arial"/>
          <w:i/>
          <w:iCs/>
          <w:color w:val="FF6600"/>
        </w:rPr>
        <w:t xml:space="preserve">* </w:t>
      </w:r>
      <w:r w:rsidRPr="00A86036">
        <w:rPr>
          <w:rFonts w:cs="Arial"/>
          <w:i/>
          <w:iCs/>
        </w:rPr>
        <w:t xml:space="preserve">На база посоченото по-горе и познаването на регулаторната среда към момента на изготвяне на настоящата програма за развитието и дейността на” ДКЦ </w:t>
      </w:r>
      <w:r>
        <w:rPr>
          <w:rFonts w:cs="Arial"/>
          <w:i/>
          <w:iCs/>
        </w:rPr>
        <w:t>Чайка</w:t>
      </w:r>
      <w:r w:rsidRPr="00A86036">
        <w:rPr>
          <w:rFonts w:cs="Arial"/>
          <w:i/>
          <w:iCs/>
        </w:rPr>
        <w:t xml:space="preserve">” ЕООД оценяваме риска от лицензионни режими като:  </w:t>
      </w:r>
      <w:r w:rsidRPr="00A422DD">
        <w:rPr>
          <w:rFonts w:cs="Arial"/>
          <w:b/>
          <w:i/>
          <w:iCs/>
          <w:color w:val="FF6600"/>
        </w:rPr>
        <w:t>среден.</w:t>
      </w:r>
    </w:p>
    <w:p w14:paraId="4AB3A419" w14:textId="77777777" w:rsidR="00FA65F8" w:rsidRDefault="00FA65F8" w:rsidP="00FA65F8">
      <w:pPr>
        <w:pStyle w:val="BodyTextIndent"/>
        <w:spacing w:after="0"/>
        <w:jc w:val="both"/>
        <w:rPr>
          <w:i/>
        </w:rPr>
      </w:pPr>
    </w:p>
    <w:p w14:paraId="68AB4187" w14:textId="77777777" w:rsidR="00FA65F8" w:rsidRPr="00B17CA0" w:rsidRDefault="00FA65F8" w:rsidP="00FA65F8">
      <w:pPr>
        <w:pStyle w:val="BodyTextIndent"/>
        <w:numPr>
          <w:ilvl w:val="0"/>
          <w:numId w:val="6"/>
        </w:numPr>
        <w:tabs>
          <w:tab w:val="num" w:pos="567"/>
        </w:tabs>
        <w:spacing w:after="0"/>
        <w:ind w:left="567" w:hanging="283"/>
        <w:jc w:val="both"/>
        <w:rPr>
          <w:b/>
        </w:rPr>
      </w:pPr>
      <w:r w:rsidRPr="00B17CA0">
        <w:rPr>
          <w:b/>
        </w:rPr>
        <w:t>Други рискове, свързани с влиянието на основните макроикономически фактори:</w:t>
      </w:r>
    </w:p>
    <w:p w14:paraId="0CFDB63B" w14:textId="77777777" w:rsidR="00FA65F8" w:rsidRPr="00B17CA0" w:rsidRDefault="00FA65F8" w:rsidP="00FA65F8">
      <w:pPr>
        <w:pStyle w:val="NormalWeb"/>
        <w:spacing w:before="0" w:beforeAutospacing="0" w:after="0" w:afterAutospacing="0"/>
        <w:rPr>
          <w:rFonts w:ascii="Calibri" w:hAnsi="Calibri"/>
          <w:color w:val="auto"/>
          <w:sz w:val="22"/>
          <w:szCs w:val="22"/>
        </w:rPr>
      </w:pPr>
      <w:r>
        <w:rPr>
          <w:rFonts w:ascii="Calibri" w:hAnsi="Calibri"/>
          <w:color w:val="auto"/>
          <w:sz w:val="22"/>
          <w:szCs w:val="22"/>
          <w:lang w:val="en-US"/>
        </w:rPr>
        <w:t xml:space="preserve">           </w:t>
      </w:r>
      <w:r w:rsidRPr="00B17CA0">
        <w:rPr>
          <w:rFonts w:ascii="Calibri" w:hAnsi="Calibri"/>
          <w:color w:val="auto"/>
          <w:sz w:val="22"/>
          <w:szCs w:val="22"/>
        </w:rPr>
        <w:t>Рискът, асоцииран със степента на стабилност и перспективите за растеж на националната икономика, влияе съществено при формиране на нагласите и поведението на инвеститорите</w:t>
      </w:r>
      <w:r w:rsidRPr="00B17CA0">
        <w:rPr>
          <w:rFonts w:ascii="Calibri" w:hAnsi="Calibri"/>
          <w:color w:val="auto"/>
          <w:sz w:val="22"/>
          <w:szCs w:val="22"/>
          <w:lang w:val="ru-RU"/>
        </w:rPr>
        <w:t xml:space="preserve">. </w:t>
      </w:r>
    </w:p>
    <w:p w14:paraId="7C44B545" w14:textId="77777777" w:rsidR="00FA65F8" w:rsidRPr="00A86036" w:rsidRDefault="00FA65F8" w:rsidP="00FA65F8">
      <w:pPr>
        <w:pStyle w:val="BodyTextIndent"/>
        <w:spacing w:after="0"/>
        <w:ind w:left="0" w:right="-1"/>
        <w:jc w:val="both"/>
        <w:rPr>
          <w:rFonts w:cs="Arial"/>
        </w:rPr>
      </w:pPr>
      <w:r>
        <w:rPr>
          <w:rFonts w:cs="Arial"/>
        </w:rPr>
        <w:t xml:space="preserve">           </w:t>
      </w:r>
      <w:r w:rsidRPr="00A86036">
        <w:rPr>
          <w:rFonts w:cs="Arial"/>
        </w:rPr>
        <w:t>Трите основни приоритета, които са начертани за развитието на националната икономика през следващата година са:</w:t>
      </w:r>
    </w:p>
    <w:p w14:paraId="72EB0EFA" w14:textId="77777777" w:rsidR="00FA65F8" w:rsidRPr="00A86036" w:rsidRDefault="00FA65F8" w:rsidP="00FA65F8">
      <w:pPr>
        <w:pStyle w:val="BodyTextIndent"/>
        <w:spacing w:after="0"/>
        <w:ind w:left="0" w:right="-1"/>
        <w:jc w:val="both"/>
        <w:rPr>
          <w:rFonts w:cs="Arial"/>
          <w:lang w:val="en-US"/>
        </w:rPr>
      </w:pPr>
      <w:r w:rsidRPr="008723B7">
        <w:rPr>
          <w:rFonts w:cs="Arial"/>
          <w:i/>
          <w:color w:val="FF6600"/>
        </w:rPr>
        <w:t xml:space="preserve">          *</w:t>
      </w:r>
      <w:r>
        <w:rPr>
          <w:rFonts w:cs="Arial"/>
          <w:i/>
        </w:rPr>
        <w:t xml:space="preserve"> </w:t>
      </w:r>
      <w:r w:rsidRPr="00A86036">
        <w:rPr>
          <w:rFonts w:cs="Arial"/>
          <w:i/>
        </w:rPr>
        <w:t xml:space="preserve">Овладяване на епидемията - </w:t>
      </w:r>
      <w:r w:rsidRPr="00A86036">
        <w:rPr>
          <w:rFonts w:cs="Arial"/>
        </w:rPr>
        <w:t>на първо място е овладяването на епидемията и увеличаване на ваксинационното покритие. Голяма част от населението все още не е ваксинирано. При средно над 70% нива на ваксинация в Европа, за България този процент е едва 30%. За да се увеличи ваксинацията обаче е необходима активна информационна кампания и организация с цел убеждаване на населението за ползите от ваксините, както и  ускоряване и улесняване на процеса. При развитие и действащия в момента Омикрон вариант на коронавируса икономиката ни рискува да претърпи не едно, а поредица от затваряния, което ще прекъсне отново веригите на доставките и ще задълбочи вече създадената криза. В условията на нарастващи потребителски цени и цени на електроенергията този сценарий е крайно нежелателен и пагубен за държавата. Трябва да се има предвид, че с навлизането на нови ваксини и лекарства за терапия вирусът няма да е така застрашителен за населението на развитите държави. Проблемът обаче ще остане да застрашава развиващите се държави, а ако България продължи с влошения темп на ваксинация, ще продължи да се причислява към тази изоставаща по резултати група страни. Разбира се, при този сценарий влизането на България в еврозоната ще бъде застрашено и отново отложено, а държавният дълг ще продължава да нараства.</w:t>
      </w:r>
    </w:p>
    <w:p w14:paraId="3EAA70DA" w14:textId="77777777" w:rsidR="00FA65F8" w:rsidRPr="00A86036" w:rsidRDefault="00FA65F8" w:rsidP="00FA65F8">
      <w:pPr>
        <w:pStyle w:val="BodyTextIndent"/>
        <w:spacing w:after="0"/>
        <w:ind w:left="0" w:right="-1"/>
        <w:jc w:val="both"/>
        <w:rPr>
          <w:rFonts w:cs="Arial"/>
        </w:rPr>
      </w:pPr>
      <w:r>
        <w:rPr>
          <w:rFonts w:cs="Arial"/>
          <w:i/>
        </w:rPr>
        <w:lastRenderedPageBreak/>
        <w:t xml:space="preserve">         </w:t>
      </w:r>
      <w:r>
        <w:rPr>
          <w:rFonts w:cs="Arial"/>
          <w:i/>
          <w:color w:val="FF6600"/>
        </w:rPr>
        <w:t xml:space="preserve">* </w:t>
      </w:r>
      <w:r w:rsidRPr="00A86036">
        <w:rPr>
          <w:rFonts w:cs="Arial"/>
          <w:i/>
        </w:rPr>
        <w:t xml:space="preserve">Овладяване на инфлацията - </w:t>
      </w:r>
      <w:r w:rsidRPr="00A86036">
        <w:rPr>
          <w:rFonts w:cs="Arial"/>
        </w:rPr>
        <w:t>нарушенията във веригата на доставките и повишеното търсене на енергийни ресурси при ограничено предлагане доведоха до увеличаване на цените. За САЩ инфлацията достигна безпрецедентни нива, които не са наблюдавани от 90-те години на миналия век. Към декември 2021 г. измерената инфлация за американската икономика е 6,8% - най-високото ниво от 1982 г. насам.</w:t>
      </w:r>
      <w:r w:rsidRPr="00A86036">
        <w:rPr>
          <w:rFonts w:cs="Arial"/>
          <w:i/>
        </w:rPr>
        <w:t xml:space="preserve"> </w:t>
      </w:r>
      <w:r w:rsidRPr="00A86036">
        <w:rPr>
          <w:rFonts w:cs="Arial"/>
        </w:rPr>
        <w:t>Въпреки че централните банки дълго време твърдяха, че събитията са временни и пазарът постепенно ще се адаптира, което ще доведе и до отслабване на инфлацията, сигналите в последния месец показват, че това вероятно няма да се случи до края на 2022 г. Инфлацията ще намалява, но с по-бавен темп от очаквания, като същевременно се очаква и централните банки да увеличат лихвите.</w:t>
      </w:r>
      <w:r w:rsidRPr="00A86036">
        <w:rPr>
          <w:rFonts w:cs="Arial"/>
          <w:i/>
        </w:rPr>
        <w:t xml:space="preserve"> </w:t>
      </w:r>
      <w:r w:rsidRPr="00A86036">
        <w:rPr>
          <w:rFonts w:cs="Arial"/>
        </w:rPr>
        <w:t>Наред с тези прогнози вече е налице и увеличаване на работните заплати в редица сектори, като напълно възможно е при ускоряваща се инфлация да се увеличи и безработицата - т.е. да се стигне до стагфлация в определени държави и региони. Особено застрашена от стагфлация е Великобритания, където в резултат от Brexit има вече недостиг на работна ръка, както и поради зависимостта й от доставките на природен газ.</w:t>
      </w:r>
      <w:r w:rsidRPr="00A86036">
        <w:rPr>
          <w:rFonts w:cs="Arial"/>
          <w:i/>
        </w:rPr>
        <w:t xml:space="preserve"> </w:t>
      </w:r>
      <w:r w:rsidRPr="00A86036">
        <w:rPr>
          <w:rFonts w:cs="Arial"/>
        </w:rPr>
        <w:t xml:space="preserve">За България има два основни пътя, които трябва да се следват, за да ни преведат през лабиринта на влошена икономическа обстановка в следващите години. Това са Зеленият преход и усвояването на средствата по Националния план за възстановяване и устойчивост 2021-2027. Навременните и качествени инвестиции в тези две направления ще осигурят необходимите условия за икономически растеж и ще компенсират всички съществуващи и потенциални дисбаланси в икономиката ни. И обратното - всяко забавяне в прилагането им ще има крайно негативно отражение, и то за дълъг период от време. Към настоящия момент друг важен акцент е как по-какъв начин ще може да бъде овладяна инфлацията след избухването на войната в Украйна. В тази ситуация България не може да се справи сама. Това, което би могло да се направи, е да се преразгледа държавния бюджет за тази година и да се променят стратегиите по повод за участието ни в защитните сили на НАТО, това да се бюджетира, да се трупат резерви, отколкото да се увеличават разходите. Основният проблем е цената на енергийните ресурси, която ще се вдига нагоре и вероятно  ще се удвои. През Украйна преминават около една трета от доставките на природен газ за ЕС и остават каналите за износ на природен газ от Русия - "Северен поток" и "Турски поток", който преминава през България. Това ще бъде инструмент за влияние на Руската федерация върху ЕС и вкл. и върху България. Според експертите е възможно Русия да се опита да вклини разединение в ЕС и то да дойде през България, заради наличието на такава тръба. Прогнозира се цената на газа да скочи поне двойно за европейците до края на годината. Санкциите, които ЕС налага, заедно със САЩ и Великобритания засега не засягат енергийните доставки.  "Северен поток" 2 така или иначе не работи като канал за доставка засега, но "Северен поток" 1 и "Южен поток" работят и санкциите няма да ги засегнат. </w:t>
      </w:r>
    </w:p>
    <w:p w14:paraId="2BB8218E" w14:textId="77777777" w:rsidR="00FA65F8" w:rsidRPr="00A86036" w:rsidRDefault="00FA65F8" w:rsidP="00FA65F8">
      <w:pPr>
        <w:pStyle w:val="BodyTextIndent"/>
        <w:tabs>
          <w:tab w:val="left" w:pos="0"/>
        </w:tabs>
        <w:spacing w:after="0"/>
        <w:ind w:left="0" w:right="-1"/>
        <w:jc w:val="both"/>
        <w:rPr>
          <w:rFonts w:cs="Arial"/>
          <w:i/>
        </w:rPr>
      </w:pPr>
      <w:r>
        <w:rPr>
          <w:rFonts w:cs="Arial"/>
          <w:i/>
        </w:rPr>
        <w:t xml:space="preserve">             </w:t>
      </w:r>
      <w:r>
        <w:rPr>
          <w:rFonts w:cs="Arial"/>
          <w:i/>
          <w:color w:val="FF6600"/>
        </w:rPr>
        <w:t xml:space="preserve">* </w:t>
      </w:r>
      <w:r w:rsidRPr="00A86036">
        <w:rPr>
          <w:rFonts w:cs="Arial"/>
          <w:i/>
        </w:rPr>
        <w:t xml:space="preserve">Намаляване на неравенствата - </w:t>
      </w:r>
      <w:r w:rsidRPr="00A86036">
        <w:rPr>
          <w:rFonts w:cs="Arial"/>
        </w:rPr>
        <w:t>проблемът с неравенствата на доходите в България съществува отдавна, но за съжаление, се заобикаля постоянно от началото на прехода. Това неравенство проличава особено силно в периоди на икономически кризи, които са особено силно изразени сред населението с най-ниски доходи. При линия на бедността от 413 лева броят на лицата под нея надхвърля 1,6 млн. души, или близо 25% от населението на страната.</w:t>
      </w:r>
      <w:r w:rsidRPr="00A86036">
        <w:rPr>
          <w:rFonts w:cs="Arial"/>
          <w:i/>
        </w:rPr>
        <w:t xml:space="preserve"> </w:t>
      </w:r>
      <w:r w:rsidRPr="00A86036">
        <w:rPr>
          <w:rFonts w:cs="Arial"/>
        </w:rPr>
        <w:t>Предвиденото увеличение на минималната работна заплата до 720 лева обаче няма да реши проблема с неравенството. За тази цел е необходима промяна в данъчната политика и преминаване от плосък данък към прогресивно подоходно облагане. Това е единственият механизъм, който има потенциала да осигури баланс в разпределението на доходите, но дълги години беше пренебрегван с твърдението, че така ще се получи отлив на много желаните чуждестранни инвестиции. Истината обаче е, че притокът на инвестиции не зависи толкова от данъците, а от осигурената добра инфраструктура или най-общо казано - от подходящи и благоприятни условия за развитие на бизнеса.</w:t>
      </w:r>
      <w:r w:rsidRPr="00A86036">
        <w:rPr>
          <w:rFonts w:cs="Arial"/>
          <w:i/>
        </w:rPr>
        <w:t xml:space="preserve"> </w:t>
      </w:r>
      <w:r w:rsidRPr="00A86036">
        <w:rPr>
          <w:rFonts w:cs="Arial"/>
        </w:rPr>
        <w:t>С намаляване на корупцията, каквото е заявеното намерение на новото правителство, можем да очакваме и повишено доверие на чуждестранните инвеститори и съответно да имаме очаквания за нарастване на преките чуждестранни инвестиции.</w:t>
      </w:r>
    </w:p>
    <w:p w14:paraId="51EC0D91" w14:textId="6D10C2AF" w:rsidR="00FA65F8" w:rsidRPr="00094797" w:rsidRDefault="00FA65F8" w:rsidP="00FA65F8">
      <w:pPr>
        <w:pStyle w:val="BodyTextIndent"/>
        <w:spacing w:after="0"/>
        <w:ind w:left="284" w:right="-1"/>
        <w:jc w:val="both"/>
        <w:rPr>
          <w:rFonts w:cs="Arial"/>
          <w:b/>
          <w:i/>
          <w:iCs/>
          <w:color w:val="548DD4"/>
        </w:rPr>
      </w:pPr>
      <w:r>
        <w:rPr>
          <w:rFonts w:cs="Arial"/>
          <w:i/>
          <w:iCs/>
          <w:color w:val="FF6600"/>
        </w:rPr>
        <w:t xml:space="preserve">* </w:t>
      </w:r>
      <w:r w:rsidRPr="00A86036">
        <w:rPr>
          <w:rFonts w:cs="Arial"/>
          <w:i/>
          <w:iCs/>
        </w:rPr>
        <w:t xml:space="preserve">На база посоченото по-горе към момента на изготвяне на настоящата програма за развитието и дейността на „ДКЦ </w:t>
      </w:r>
      <w:r>
        <w:rPr>
          <w:rFonts w:cs="Arial"/>
          <w:i/>
          <w:iCs/>
        </w:rPr>
        <w:t>Чайка</w:t>
      </w:r>
      <w:r w:rsidRPr="00A86036">
        <w:rPr>
          <w:rFonts w:cs="Arial"/>
          <w:i/>
          <w:iCs/>
        </w:rPr>
        <w:t xml:space="preserve">” ЕООД оценяваме другите рискове, свързани с влиянието на основни макроикономически фактори като: </w:t>
      </w:r>
      <w:r>
        <w:rPr>
          <w:rFonts w:cs="Arial"/>
          <w:b/>
          <w:i/>
          <w:iCs/>
          <w:color w:val="FF6600"/>
        </w:rPr>
        <w:t>висок.</w:t>
      </w:r>
    </w:p>
    <w:p w14:paraId="67D14A5E" w14:textId="77777777" w:rsidR="00FA65F8" w:rsidRPr="00D540BD" w:rsidRDefault="00FA65F8" w:rsidP="00FA65F8">
      <w:pPr>
        <w:pStyle w:val="BodyTextIndent"/>
        <w:ind w:left="0"/>
        <w:rPr>
          <w:b/>
          <w:u w:val="single"/>
        </w:rPr>
      </w:pPr>
    </w:p>
    <w:p w14:paraId="631ED80E" w14:textId="77777777" w:rsidR="00FA65F8" w:rsidRPr="00D540BD" w:rsidRDefault="00FA65F8" w:rsidP="00FA65F8">
      <w:pPr>
        <w:pStyle w:val="BodyText"/>
        <w:numPr>
          <w:ilvl w:val="0"/>
          <w:numId w:val="20"/>
        </w:numPr>
        <w:jc w:val="both"/>
        <w:rPr>
          <w:rFonts w:ascii="Calibri" w:hAnsi="Calibri"/>
          <w:b/>
          <w:sz w:val="22"/>
          <w:szCs w:val="22"/>
          <w:u w:val="single"/>
        </w:rPr>
      </w:pPr>
      <w:r w:rsidRPr="00D540BD">
        <w:rPr>
          <w:rFonts w:ascii="Calibri" w:hAnsi="Calibri"/>
          <w:b/>
          <w:sz w:val="22"/>
          <w:szCs w:val="22"/>
          <w:u w:val="single"/>
        </w:rPr>
        <w:lastRenderedPageBreak/>
        <w:t>Несистематични (микроикономически) рискове:</w:t>
      </w:r>
    </w:p>
    <w:p w14:paraId="31537E1C" w14:textId="77777777" w:rsidR="00FA65F8" w:rsidRDefault="00FA65F8" w:rsidP="00FA65F8">
      <w:pPr>
        <w:pStyle w:val="BodyTextIndent"/>
        <w:ind w:left="0"/>
        <w:jc w:val="both"/>
        <w:rPr>
          <w:rFonts w:eastAsia="Times New Roman"/>
          <w:b/>
          <w:u w:val="single"/>
        </w:rPr>
      </w:pPr>
    </w:p>
    <w:p w14:paraId="6B19B6A9" w14:textId="77777777" w:rsidR="00FA65F8" w:rsidRPr="00D540BD" w:rsidRDefault="00FA65F8" w:rsidP="00FA65F8">
      <w:pPr>
        <w:pStyle w:val="BodyTextIndent"/>
        <w:ind w:left="0"/>
        <w:jc w:val="both"/>
      </w:pPr>
      <w:r w:rsidRPr="00D540BD">
        <w:t>Традиционно несистематичните рискове се разглеждат на две нива – отраслов риск, касаещ несигурностите в развитието на отрасъла ни и общ фирмен риск, произтичащ от спецификите на дружеството ни.</w:t>
      </w:r>
    </w:p>
    <w:p w14:paraId="54815DF7" w14:textId="77777777" w:rsidR="00FA65F8" w:rsidRPr="00D540BD" w:rsidRDefault="00FA65F8" w:rsidP="00FA65F8">
      <w:pPr>
        <w:numPr>
          <w:ilvl w:val="0"/>
          <w:numId w:val="22"/>
        </w:numPr>
        <w:tabs>
          <w:tab w:val="left" w:pos="426"/>
        </w:tabs>
        <w:ind w:hanging="4973"/>
        <w:jc w:val="both"/>
        <w:rPr>
          <w:b/>
        </w:rPr>
      </w:pPr>
      <w:r w:rsidRPr="00D540BD">
        <w:rPr>
          <w:b/>
        </w:rPr>
        <w:t>Отраслов (секторен) риск:</w:t>
      </w:r>
    </w:p>
    <w:p w14:paraId="01FEAE37" w14:textId="77777777" w:rsidR="00FA65F8" w:rsidRPr="00B611B9" w:rsidRDefault="00FA65F8" w:rsidP="00FA65F8">
      <w:pPr>
        <w:pStyle w:val="BodyTextIndent"/>
        <w:spacing w:after="0"/>
        <w:ind w:left="0"/>
        <w:jc w:val="both"/>
      </w:pPr>
      <w:r>
        <w:t xml:space="preserve">        </w:t>
      </w:r>
      <w:r w:rsidRPr="00D540BD">
        <w:t>Появява се във вероятността от негативни тенденции в развитието на отрасъла като цяло, технологичната обезпеченост, нормативната база, конкурентната среда и характеристиките на пазарната среда за продуктите и суровините, употребявани в отрасъла. Рискът се свързва преди</w:t>
      </w:r>
      <w:r w:rsidRPr="00E60A7F">
        <w:rPr>
          <w:color w:val="FF0000"/>
        </w:rPr>
        <w:t xml:space="preserve"> </w:t>
      </w:r>
      <w:r w:rsidRPr="00B611B9">
        <w:t xml:space="preserve">всичко с отражението върху възможността за реализиране на доходи в рамките на отрасъла и по-конкретно на технологичните промени или измененията в специфичната нормативна база. </w:t>
      </w:r>
    </w:p>
    <w:p w14:paraId="226E3386" w14:textId="77777777" w:rsidR="00FA65F8" w:rsidRPr="00B611B9" w:rsidRDefault="00FA65F8" w:rsidP="00FA65F8">
      <w:pPr>
        <w:pStyle w:val="BodyTextIndent"/>
        <w:ind w:left="0"/>
        <w:jc w:val="both"/>
      </w:pPr>
      <w:r>
        <w:t xml:space="preserve">        </w:t>
      </w:r>
      <w:r w:rsidRPr="00B611B9">
        <w:t xml:space="preserve">Отраслите с голям потенциал в България, които следва да се стимулират от правителството са: здравеопазване, туризъм, селско стопанство, IT сектор, иновации и аутсорсинг на услуги. </w:t>
      </w:r>
    </w:p>
    <w:p w14:paraId="78BB505A" w14:textId="77777777" w:rsidR="00FA65F8" w:rsidRPr="00B611B9" w:rsidRDefault="00FA65F8" w:rsidP="00FA65F8">
      <w:pPr>
        <w:pStyle w:val="BodyTextIndent"/>
        <w:numPr>
          <w:ilvl w:val="0"/>
          <w:numId w:val="2"/>
        </w:numPr>
        <w:tabs>
          <w:tab w:val="clear" w:pos="3690"/>
          <w:tab w:val="num" w:pos="284"/>
          <w:tab w:val="num" w:pos="3905"/>
        </w:tabs>
        <w:spacing w:after="0"/>
        <w:ind w:left="284" w:hanging="284"/>
        <w:jc w:val="both"/>
        <w:rPr>
          <w:i/>
        </w:rPr>
      </w:pPr>
      <w:r w:rsidRPr="00B611B9">
        <w:rPr>
          <w:i/>
        </w:rPr>
        <w:t xml:space="preserve">На база посоченото по-горе и спецификата на отрасъла ни, към момента на изготвяне на настоящия доклад, оценяваме отрасловия риск като </w:t>
      </w:r>
      <w:r>
        <w:rPr>
          <w:b/>
          <w:i/>
          <w:color w:val="FF6600"/>
        </w:rPr>
        <w:t>среден</w:t>
      </w:r>
      <w:r w:rsidRPr="00A02A9D">
        <w:rPr>
          <w:b/>
          <w:i/>
          <w:color w:val="FF6600"/>
        </w:rPr>
        <w:t>.</w:t>
      </w:r>
    </w:p>
    <w:p w14:paraId="45069823" w14:textId="77777777" w:rsidR="00FA65F8" w:rsidRPr="00B611B9" w:rsidRDefault="00FA65F8" w:rsidP="00FA65F8">
      <w:pPr>
        <w:pStyle w:val="BodyTextIndent"/>
        <w:spacing w:after="0"/>
        <w:ind w:left="0"/>
        <w:jc w:val="both"/>
        <w:rPr>
          <w:i/>
          <w:lang w:val="ru-RU"/>
        </w:rPr>
      </w:pPr>
    </w:p>
    <w:p w14:paraId="290751E8" w14:textId="77777777" w:rsidR="00FA65F8" w:rsidRPr="00B611B9" w:rsidRDefault="00FA65F8" w:rsidP="00FA65F8">
      <w:pPr>
        <w:numPr>
          <w:ilvl w:val="0"/>
          <w:numId w:val="22"/>
        </w:numPr>
        <w:tabs>
          <w:tab w:val="left" w:pos="426"/>
        </w:tabs>
        <w:ind w:hanging="4973"/>
        <w:jc w:val="both"/>
        <w:rPr>
          <w:b/>
        </w:rPr>
      </w:pPr>
      <w:r w:rsidRPr="00B611B9">
        <w:rPr>
          <w:b/>
        </w:rPr>
        <w:t>Технологичен риск:</w:t>
      </w:r>
    </w:p>
    <w:p w14:paraId="18DDE6EF" w14:textId="77777777" w:rsidR="00FA65F8" w:rsidRPr="00B611B9" w:rsidRDefault="00FA65F8" w:rsidP="00FA65F8">
      <w:pPr>
        <w:pStyle w:val="BodyText"/>
        <w:jc w:val="both"/>
        <w:rPr>
          <w:rFonts w:ascii="Calibri" w:hAnsi="Calibri"/>
          <w:kern w:val="2"/>
          <w:sz w:val="22"/>
          <w:szCs w:val="22"/>
          <w:lang w:val="be-BY"/>
        </w:rPr>
      </w:pPr>
      <w:r w:rsidRPr="00B611B9">
        <w:rPr>
          <w:rFonts w:ascii="Calibri" w:hAnsi="Calibri"/>
          <w:kern w:val="2"/>
          <w:sz w:val="22"/>
          <w:szCs w:val="22"/>
          <w:lang w:val="be-BY"/>
        </w:rPr>
        <w:t>Технологичният риск е производен от необходимите нови технологии за обслужване дейността на дружеството и от скоростта, с която се развиват те. Налице е обратна зависимост на този риск спрямо  технологичното фирмено обезпечение.</w:t>
      </w:r>
    </w:p>
    <w:p w14:paraId="13F11467" w14:textId="77777777" w:rsidR="00FA65F8" w:rsidRPr="00B611B9" w:rsidRDefault="00FA65F8" w:rsidP="00FA65F8">
      <w:pPr>
        <w:pStyle w:val="BodyTextIndent"/>
        <w:numPr>
          <w:ilvl w:val="0"/>
          <w:numId w:val="2"/>
        </w:numPr>
        <w:tabs>
          <w:tab w:val="clear" w:pos="3690"/>
          <w:tab w:val="num" w:pos="284"/>
          <w:tab w:val="num" w:pos="3905"/>
        </w:tabs>
        <w:spacing w:after="0"/>
        <w:ind w:left="284" w:hanging="284"/>
        <w:jc w:val="both"/>
        <w:rPr>
          <w:i/>
        </w:rPr>
      </w:pPr>
      <w:r w:rsidRPr="00B611B9">
        <w:rPr>
          <w:i/>
        </w:rPr>
        <w:t xml:space="preserve">На база използваните от дружеството ни технологии и познаването на технологичните тенденции на развитие на бранша, към момента на изготвяне на настоящия доклад оценяваме технологичния риск като </w:t>
      </w:r>
      <w:r>
        <w:rPr>
          <w:b/>
          <w:i/>
          <w:color w:val="FF6600"/>
        </w:rPr>
        <w:t>висок</w:t>
      </w:r>
      <w:r w:rsidRPr="00817F79">
        <w:rPr>
          <w:b/>
          <w:i/>
          <w:color w:val="FF6600"/>
        </w:rPr>
        <w:t>.</w:t>
      </w:r>
      <w:r w:rsidRPr="00B611B9">
        <w:rPr>
          <w:b/>
          <w:i/>
        </w:rPr>
        <w:t xml:space="preserve"> </w:t>
      </w:r>
    </w:p>
    <w:p w14:paraId="22A86207" w14:textId="77777777" w:rsidR="00FA65F8" w:rsidRPr="00B611B9" w:rsidRDefault="00FA65F8" w:rsidP="00FA65F8">
      <w:pPr>
        <w:pStyle w:val="BodyText"/>
        <w:jc w:val="both"/>
        <w:rPr>
          <w:rFonts w:ascii="Calibri" w:hAnsi="Calibri"/>
          <w:b/>
          <w:kern w:val="2"/>
          <w:sz w:val="22"/>
          <w:szCs w:val="22"/>
        </w:rPr>
      </w:pPr>
    </w:p>
    <w:p w14:paraId="30C55945" w14:textId="77777777" w:rsidR="00FA65F8" w:rsidRPr="00B611B9" w:rsidRDefault="00FA65F8" w:rsidP="00FA65F8">
      <w:pPr>
        <w:numPr>
          <w:ilvl w:val="0"/>
          <w:numId w:val="22"/>
        </w:numPr>
        <w:tabs>
          <w:tab w:val="left" w:pos="426"/>
        </w:tabs>
        <w:ind w:hanging="4973"/>
        <w:jc w:val="both"/>
        <w:rPr>
          <w:b/>
        </w:rPr>
      </w:pPr>
      <w:r w:rsidRPr="00B611B9">
        <w:rPr>
          <w:b/>
        </w:rPr>
        <w:t>Фирмен риск:</w:t>
      </w:r>
    </w:p>
    <w:p w14:paraId="1DFE84C9" w14:textId="77777777" w:rsidR="00FA65F8" w:rsidRPr="00B611B9" w:rsidRDefault="00FA65F8" w:rsidP="00FA65F8">
      <w:pPr>
        <w:pStyle w:val="BodyTextIndent"/>
        <w:ind w:left="0"/>
        <w:jc w:val="both"/>
        <w:rPr>
          <w:kern w:val="2"/>
        </w:rPr>
      </w:pPr>
      <w:r w:rsidRPr="00B611B9">
        <w:rPr>
          <w:kern w:val="2"/>
        </w:rPr>
        <w:t xml:space="preserve">Свързан е с характера на основната дейност на дружеството, с технологията и </w:t>
      </w:r>
      <w:r w:rsidRPr="00B611B9">
        <w:t>организацията</w:t>
      </w:r>
      <w:r w:rsidRPr="00B611B9">
        <w:rPr>
          <w:kern w:val="2"/>
        </w:rPr>
        <w:t xml:space="preserve"> на цялостната му активност, както и с обезпечеността на дружеството с финансови ресурси. Подкатегории на фирмения риск са: бизнес риск и финансов риск. Основният фирмен риск е свързан със способността на дружеството да генерира приходи, а оттам и положителен финансов резултат. </w:t>
      </w:r>
    </w:p>
    <w:p w14:paraId="4838C8E5" w14:textId="7D20C76C" w:rsidR="00FA65F8" w:rsidRPr="00B611B9" w:rsidRDefault="00FA65F8" w:rsidP="00FA65F8">
      <w:pPr>
        <w:pStyle w:val="BodyTextIndent"/>
        <w:ind w:left="0"/>
        <w:jc w:val="both"/>
        <w:rPr>
          <w:kern w:val="2"/>
        </w:rPr>
      </w:pPr>
      <w:r w:rsidRPr="00B611B9">
        <w:rPr>
          <w:kern w:val="2"/>
        </w:rPr>
        <w:t xml:space="preserve">Управлението на фирмения риск за дружеството ни засяга анализа на продуктите/услугите, които се предлагат от </w:t>
      </w:r>
      <w:r w:rsidRPr="00B611B9">
        <w:t>“ДКЦ</w:t>
      </w:r>
      <w:r w:rsidRPr="00B611B9">
        <w:rPr>
          <w:lang w:val="ru-RU"/>
        </w:rPr>
        <w:t xml:space="preserve"> </w:t>
      </w:r>
      <w:r>
        <w:rPr>
          <w:rFonts w:cs="Arial"/>
          <w:i/>
          <w:iCs/>
        </w:rPr>
        <w:t>Чайка</w:t>
      </w:r>
      <w:r w:rsidRPr="00B611B9">
        <w:t>” ЕООД</w:t>
      </w:r>
      <w:r w:rsidRPr="00B611B9">
        <w:rPr>
          <w:kern w:val="2"/>
        </w:rPr>
        <w:t>, обезпечеността с човешки ресурси, управленските решения на оперативно и стратегическо ниво, контрола върху прилагането на приетите планове и стратегии за развитие.</w:t>
      </w:r>
    </w:p>
    <w:p w14:paraId="457FC3AC" w14:textId="77777777" w:rsidR="00FA65F8" w:rsidRPr="00B611B9" w:rsidRDefault="00FA65F8" w:rsidP="00FA65F8">
      <w:pPr>
        <w:pStyle w:val="BodyTextIndent"/>
        <w:numPr>
          <w:ilvl w:val="0"/>
          <w:numId w:val="2"/>
        </w:numPr>
        <w:tabs>
          <w:tab w:val="clear" w:pos="3690"/>
          <w:tab w:val="num" w:pos="284"/>
          <w:tab w:val="num" w:pos="3905"/>
        </w:tabs>
        <w:spacing w:after="0"/>
        <w:ind w:left="284" w:hanging="284"/>
        <w:jc w:val="both"/>
        <w:rPr>
          <w:b/>
          <w:i/>
        </w:rPr>
      </w:pPr>
      <w:r w:rsidRPr="00B611B9">
        <w:rPr>
          <w:i/>
        </w:rPr>
        <w:t xml:space="preserve">На база посоченото по-горе и спецификата на дейността ни, към момента на изготвяне на настоящия доклад оценяваме фирмения риск като </w:t>
      </w:r>
      <w:r>
        <w:rPr>
          <w:b/>
          <w:i/>
          <w:color w:val="FF6600"/>
        </w:rPr>
        <w:t>среден</w:t>
      </w:r>
      <w:r w:rsidRPr="00817F79">
        <w:rPr>
          <w:b/>
          <w:i/>
          <w:color w:val="FF6600"/>
        </w:rPr>
        <w:t>.</w:t>
      </w:r>
      <w:r w:rsidRPr="00B611B9">
        <w:rPr>
          <w:b/>
          <w:i/>
        </w:rPr>
        <w:t xml:space="preserve"> </w:t>
      </w:r>
    </w:p>
    <w:p w14:paraId="3A066131" w14:textId="77777777" w:rsidR="00FA65F8" w:rsidRPr="00B611B9" w:rsidRDefault="00FA65F8" w:rsidP="00FA65F8">
      <w:pPr>
        <w:jc w:val="both"/>
        <w:rPr>
          <w:b/>
          <w:i/>
        </w:rPr>
      </w:pPr>
    </w:p>
    <w:p w14:paraId="21CB5996" w14:textId="77777777" w:rsidR="00FA65F8" w:rsidRPr="00B611B9" w:rsidRDefault="00FA65F8" w:rsidP="00FA65F8">
      <w:pPr>
        <w:numPr>
          <w:ilvl w:val="0"/>
          <w:numId w:val="22"/>
        </w:numPr>
        <w:tabs>
          <w:tab w:val="left" w:pos="426"/>
        </w:tabs>
        <w:ind w:hanging="4973"/>
        <w:jc w:val="both"/>
        <w:rPr>
          <w:b/>
        </w:rPr>
      </w:pPr>
      <w:r w:rsidRPr="00B611B9">
        <w:rPr>
          <w:b/>
        </w:rPr>
        <w:t>Финансов риск:</w:t>
      </w:r>
    </w:p>
    <w:p w14:paraId="11389F98" w14:textId="77777777" w:rsidR="00FA65F8" w:rsidRPr="00B611B9" w:rsidRDefault="00FA65F8" w:rsidP="00FA65F8">
      <w:pPr>
        <w:pStyle w:val="BodyTextIndent"/>
        <w:ind w:left="0"/>
        <w:jc w:val="both"/>
        <w:rPr>
          <w:bCs/>
        </w:rPr>
      </w:pPr>
      <w:r w:rsidRPr="00B611B9">
        <w:rPr>
          <w:bCs/>
        </w:rPr>
        <w:t>Финансовият риск на дружеството е свързан с възможността от влошаване на събираемостта на вземанията и изплащането на задълженията към банковите и др. институции, което би могло да доведе до затруднено финансово състояние.</w:t>
      </w:r>
    </w:p>
    <w:p w14:paraId="444F445D" w14:textId="77777777" w:rsidR="00FA65F8" w:rsidRDefault="00FA65F8" w:rsidP="00FA65F8">
      <w:pPr>
        <w:pStyle w:val="BodyTextIndent"/>
        <w:ind w:left="0"/>
        <w:jc w:val="both"/>
        <w:rPr>
          <w:kern w:val="2"/>
        </w:rPr>
      </w:pPr>
      <w:r>
        <w:rPr>
          <w:bCs/>
        </w:rPr>
        <w:t xml:space="preserve">          О</w:t>
      </w:r>
      <w:r w:rsidRPr="00B611B9">
        <w:rPr>
          <w:bCs/>
        </w:rPr>
        <w:t xml:space="preserve">сновен </w:t>
      </w:r>
      <w:r w:rsidRPr="00B611B9">
        <w:rPr>
          <w:kern w:val="2"/>
        </w:rPr>
        <w:t>проблем са високите стойности на междуфирмена задлъжнялост. Негативен ефект върху предприятията и задлъжнялостта имат ръстът на БВП, променливият бизнес климат, свиването на инвестициите, нарастването на случаите с фактическа неплатежоспособност, фалитите и бавните процедури по несъстоятелност. През 2020г.</w:t>
      </w:r>
      <w:r>
        <w:rPr>
          <w:kern w:val="2"/>
        </w:rPr>
        <w:t>и 2021г.</w:t>
      </w:r>
      <w:r w:rsidRPr="00B611B9">
        <w:rPr>
          <w:kern w:val="2"/>
        </w:rPr>
        <w:t xml:space="preserve"> е налице влошаване на събираемостта на дългове, броят на фирмите, които не си погасяват кредитите, се увеличава. При сегашната структура на несъстоятелност обаче това влошаване ще проличи по-късно във времето. </w:t>
      </w:r>
      <w:r>
        <w:rPr>
          <w:kern w:val="2"/>
        </w:rPr>
        <w:t xml:space="preserve"> </w:t>
      </w:r>
    </w:p>
    <w:p w14:paraId="2FFE7BD4" w14:textId="77777777" w:rsidR="00FA65F8" w:rsidRPr="00B611B9" w:rsidRDefault="00FA65F8" w:rsidP="00FA65F8">
      <w:pPr>
        <w:pStyle w:val="BodyTextIndent"/>
        <w:ind w:left="0"/>
        <w:jc w:val="both"/>
      </w:pPr>
      <w:r>
        <w:rPr>
          <w:kern w:val="2"/>
        </w:rPr>
        <w:t xml:space="preserve">      </w:t>
      </w:r>
      <w:r w:rsidRPr="00B611B9">
        <w:rPr>
          <w:bCs/>
        </w:rPr>
        <w:t xml:space="preserve">Управлението на финансовия риск за дружеството ни е фокусирано върху оптимизиране на оперативните разходи /повишаване събираемостта на вземанията/ определяне на адекватни и </w:t>
      </w:r>
      <w:r w:rsidRPr="00B611B9">
        <w:rPr>
          <w:bCs/>
        </w:rPr>
        <w:lastRenderedPageBreak/>
        <w:t>конкурентоспособни цени на продуктите и услугите, адекватна оценка на формите на поддържане на свободни ликвидни средства.</w:t>
      </w:r>
    </w:p>
    <w:p w14:paraId="50E137E6" w14:textId="77777777" w:rsidR="00FA65F8" w:rsidRPr="009772B5" w:rsidRDefault="00FA65F8" w:rsidP="00FA65F8">
      <w:pPr>
        <w:pStyle w:val="BodyTextIndent"/>
        <w:numPr>
          <w:ilvl w:val="0"/>
          <w:numId w:val="2"/>
        </w:numPr>
        <w:tabs>
          <w:tab w:val="clear" w:pos="3690"/>
          <w:tab w:val="num" w:pos="284"/>
          <w:tab w:val="num" w:pos="3905"/>
        </w:tabs>
        <w:spacing w:after="0"/>
        <w:ind w:left="284" w:hanging="284"/>
        <w:jc w:val="both"/>
        <w:rPr>
          <w:i/>
          <w:color w:val="FF6600"/>
        </w:rPr>
      </w:pPr>
      <w:r w:rsidRPr="00B611B9">
        <w:rPr>
          <w:i/>
        </w:rPr>
        <w:t xml:space="preserve">На база посоченото по-горе и анализа на финансовото ни състояние, към момента на изготвяне на настоящия доклад оценяваме финансовия риск като </w:t>
      </w:r>
      <w:r w:rsidRPr="009772B5">
        <w:rPr>
          <w:b/>
          <w:i/>
          <w:color w:val="FF6600"/>
        </w:rPr>
        <w:t xml:space="preserve">среден. </w:t>
      </w:r>
    </w:p>
    <w:p w14:paraId="6B2A621F" w14:textId="77777777" w:rsidR="00FA65F8" w:rsidRPr="00B611B9" w:rsidRDefault="00FA65F8" w:rsidP="00FA65F8">
      <w:pPr>
        <w:pStyle w:val="BodyText"/>
        <w:jc w:val="both"/>
        <w:rPr>
          <w:rFonts w:ascii="Calibri" w:hAnsi="Calibri"/>
          <w:sz w:val="22"/>
          <w:szCs w:val="22"/>
        </w:rPr>
      </w:pPr>
    </w:p>
    <w:p w14:paraId="54032ADC" w14:textId="77777777" w:rsidR="00FA65F8" w:rsidRPr="00B611B9" w:rsidRDefault="00FA65F8" w:rsidP="00FA65F8">
      <w:pPr>
        <w:numPr>
          <w:ilvl w:val="0"/>
          <w:numId w:val="22"/>
        </w:numPr>
        <w:tabs>
          <w:tab w:val="left" w:pos="426"/>
        </w:tabs>
        <w:ind w:hanging="4973"/>
        <w:jc w:val="both"/>
        <w:rPr>
          <w:b/>
        </w:rPr>
      </w:pPr>
      <w:r w:rsidRPr="00B611B9">
        <w:rPr>
          <w:b/>
        </w:rPr>
        <w:t>Ликвиден риск:</w:t>
      </w:r>
    </w:p>
    <w:p w14:paraId="18900D78" w14:textId="77777777" w:rsidR="00FA65F8" w:rsidRPr="00B611B9" w:rsidRDefault="00FA65F8" w:rsidP="00FA65F8">
      <w:pPr>
        <w:pStyle w:val="BodyTextIndent"/>
        <w:ind w:left="0"/>
        <w:jc w:val="both"/>
        <w:rPr>
          <w:kern w:val="2"/>
        </w:rPr>
      </w:pPr>
      <w:r w:rsidRPr="00B611B9">
        <w:rPr>
          <w:kern w:val="2"/>
          <w:lang w:val="be-BY"/>
        </w:rPr>
        <w:t xml:space="preserve">Неспособността на дружеството да покрива насрещните си задължения съгласно техния падеж е израз на ликвиден риск. Ликвидността зависи главно от наличието в дружеството на парични средства или на съответните им алтернативи. Другият основен фактор, който влияе силно  е свързан с привлечения капитал. Той трябва да се поддържа в оптимално равнище, като </w:t>
      </w:r>
      <w:r w:rsidRPr="00B611B9">
        <w:rPr>
          <w:kern w:val="2"/>
        </w:rPr>
        <w:t>се контролира</w:t>
      </w:r>
      <w:r w:rsidRPr="00B611B9">
        <w:rPr>
          <w:kern w:val="2"/>
          <w:lang w:val="be-BY"/>
        </w:rPr>
        <w:t xml:space="preserve"> както нивото на заемните средства, така и стойности</w:t>
      </w:r>
      <w:r w:rsidRPr="00B611B9">
        <w:rPr>
          <w:kern w:val="2"/>
        </w:rPr>
        <w:t>т</w:t>
      </w:r>
      <w:r w:rsidRPr="00B611B9">
        <w:rPr>
          <w:kern w:val="2"/>
          <w:lang w:val="be-BY"/>
        </w:rPr>
        <w:t>е на задълженията към доставчиците и от клиентите на дружеството.</w:t>
      </w:r>
    </w:p>
    <w:p w14:paraId="69617C5F" w14:textId="77777777" w:rsidR="00FA65F8" w:rsidRPr="00B611B9" w:rsidRDefault="00FA65F8" w:rsidP="00FA65F8">
      <w:pPr>
        <w:pStyle w:val="BodyTextIndent"/>
        <w:ind w:left="0"/>
        <w:jc w:val="both"/>
        <w:rPr>
          <w:kern w:val="2"/>
        </w:rPr>
      </w:pPr>
      <w:r w:rsidRPr="00B611B9">
        <w:rPr>
          <w:kern w:val="2"/>
        </w:rPr>
        <w:t xml:space="preserve">Управлението на ликвидния риск </w:t>
      </w:r>
      <w:r w:rsidRPr="00B611B9">
        <w:rPr>
          <w:bCs/>
        </w:rPr>
        <w:t xml:space="preserve">за дружеството ни </w:t>
      </w:r>
      <w:r w:rsidRPr="00B611B9">
        <w:rPr>
          <w:kern w:val="2"/>
        </w:rPr>
        <w:t>изисква консервативна политика по ликвидността чрез постоянно поддържане на оптимален ликвиден запас парични средства, добра способност за финансиране на фирмената дейност, осигуряване и поддържане на адекватни кредитни ресурси, ежедневен мониторинг на наличните парични средства, предстоящи плащания и падежи.</w:t>
      </w:r>
    </w:p>
    <w:p w14:paraId="5BED492A" w14:textId="77777777" w:rsidR="00FA65F8" w:rsidRPr="00B611B9" w:rsidRDefault="00FA65F8" w:rsidP="00FA65F8">
      <w:pPr>
        <w:pStyle w:val="BodyTextIndent"/>
        <w:numPr>
          <w:ilvl w:val="0"/>
          <w:numId w:val="2"/>
        </w:numPr>
        <w:tabs>
          <w:tab w:val="clear" w:pos="3690"/>
          <w:tab w:val="num" w:pos="284"/>
        </w:tabs>
        <w:spacing w:after="0"/>
        <w:ind w:left="284" w:hanging="284"/>
        <w:jc w:val="both"/>
        <w:rPr>
          <w:i/>
        </w:rPr>
      </w:pPr>
      <w:r w:rsidRPr="00B611B9">
        <w:rPr>
          <w:i/>
        </w:rPr>
        <w:t xml:space="preserve">На база посоченото по-горе и анализа на задълженията на дружеството ни, както и съотношението между собствения ни и привлечен капитал, към момента на изготвяне на настоящия доклад оценяваме ликвидния риск като </w:t>
      </w:r>
      <w:r w:rsidRPr="00AA4F9A">
        <w:rPr>
          <w:b/>
          <w:i/>
          <w:color w:val="FF6600"/>
        </w:rPr>
        <w:t>среден.</w:t>
      </w:r>
    </w:p>
    <w:p w14:paraId="391CA561" w14:textId="77777777" w:rsidR="00FA65F8" w:rsidRPr="00B611B9" w:rsidRDefault="00FA65F8" w:rsidP="00FA65F8">
      <w:pPr>
        <w:pStyle w:val="BodyText"/>
        <w:jc w:val="both"/>
        <w:rPr>
          <w:rFonts w:ascii="Calibri" w:hAnsi="Calibri"/>
          <w:b/>
          <w:kern w:val="2"/>
          <w:sz w:val="22"/>
          <w:szCs w:val="22"/>
        </w:rPr>
      </w:pPr>
    </w:p>
    <w:p w14:paraId="1B013AE7" w14:textId="77777777" w:rsidR="00FA65F8" w:rsidRPr="00B611B9" w:rsidRDefault="00FA65F8" w:rsidP="00FA65F8">
      <w:pPr>
        <w:numPr>
          <w:ilvl w:val="0"/>
          <w:numId w:val="22"/>
        </w:numPr>
        <w:tabs>
          <w:tab w:val="left" w:pos="426"/>
        </w:tabs>
        <w:ind w:hanging="4973"/>
        <w:jc w:val="both"/>
        <w:rPr>
          <w:b/>
        </w:rPr>
      </w:pPr>
      <w:r w:rsidRPr="00B611B9">
        <w:rPr>
          <w:b/>
        </w:rPr>
        <w:t>Ценови риск:</w:t>
      </w:r>
    </w:p>
    <w:p w14:paraId="193D8065" w14:textId="77777777" w:rsidR="00FA65F8" w:rsidRPr="00B611B9" w:rsidRDefault="00FA65F8" w:rsidP="00FA65F8">
      <w:pPr>
        <w:pStyle w:val="BodyTextIndent"/>
        <w:ind w:left="0"/>
        <w:jc w:val="both"/>
        <w:rPr>
          <w:kern w:val="2"/>
        </w:rPr>
      </w:pPr>
      <w:r w:rsidRPr="00B611B9">
        <w:rPr>
          <w:kern w:val="2"/>
        </w:rPr>
        <w:t>Ценовият риск се определя в две направления: по отношение на пазарната конюнктура и по отношение на вътрешнофирмените производствени разходи. Продажната цена трябва да бъде съобразена и с двата фактора, като се цели тя да покрива разходите на предприятието и да носи определена норма на печалба. Цената, съответно не следва да се отдалечава значително от дефинираната на пазара, тъй като това ще рефлектира върху търсенето на фирмените продукти/услуги.</w:t>
      </w:r>
    </w:p>
    <w:p w14:paraId="67735950" w14:textId="77777777" w:rsidR="00FA65F8" w:rsidRPr="00B611B9" w:rsidRDefault="00FA65F8" w:rsidP="00FA65F8">
      <w:pPr>
        <w:pStyle w:val="BodyTextIndent"/>
        <w:ind w:left="0"/>
        <w:jc w:val="both"/>
        <w:rPr>
          <w:kern w:val="2"/>
        </w:rPr>
      </w:pPr>
      <w:r w:rsidRPr="00B611B9">
        <w:rPr>
          <w:kern w:val="2"/>
        </w:rPr>
        <w:t xml:space="preserve">Управлението на ценовия риск </w:t>
      </w:r>
      <w:r w:rsidRPr="00B611B9">
        <w:rPr>
          <w:bCs/>
        </w:rPr>
        <w:t xml:space="preserve">за дружеството ни </w:t>
      </w:r>
      <w:r w:rsidRPr="00B611B9">
        <w:rPr>
          <w:kern w:val="2"/>
        </w:rPr>
        <w:t>изисква периодичен анализ и предоговаряне на договорните параметри с клиенти и доставчици съобразно пазарните промени.</w:t>
      </w:r>
    </w:p>
    <w:p w14:paraId="4F363BDC" w14:textId="77777777" w:rsidR="00FA65F8" w:rsidRPr="00024210" w:rsidRDefault="00FA65F8" w:rsidP="00FA65F8">
      <w:pPr>
        <w:pStyle w:val="BodyTextIndent"/>
        <w:numPr>
          <w:ilvl w:val="0"/>
          <w:numId w:val="2"/>
        </w:numPr>
        <w:tabs>
          <w:tab w:val="clear" w:pos="3690"/>
          <w:tab w:val="num" w:pos="284"/>
          <w:tab w:val="num" w:pos="3905"/>
        </w:tabs>
        <w:spacing w:after="0"/>
        <w:ind w:left="284" w:hanging="284"/>
        <w:jc w:val="both"/>
        <w:rPr>
          <w:i/>
        </w:rPr>
      </w:pPr>
      <w:r w:rsidRPr="00B611B9">
        <w:rPr>
          <w:i/>
        </w:rPr>
        <w:t>На база посоченото по-горе, пазарната конюнктура, както и себестойността на произведената от нас продукция / предлагани услуги, както и нивото на вътрешнофирмени разходи и нивото на печалбата ни, към момента</w:t>
      </w:r>
      <w:r w:rsidRPr="00E60A7F">
        <w:rPr>
          <w:i/>
          <w:color w:val="FF0000"/>
        </w:rPr>
        <w:t xml:space="preserve"> </w:t>
      </w:r>
      <w:r w:rsidRPr="00B611B9">
        <w:rPr>
          <w:i/>
        </w:rPr>
        <w:t>на изготвяне на настоящия доклад оценяваме ценовия риск като</w:t>
      </w:r>
      <w:r w:rsidRPr="00B611B9">
        <w:rPr>
          <w:b/>
          <w:i/>
        </w:rPr>
        <w:t xml:space="preserve"> </w:t>
      </w:r>
      <w:r>
        <w:rPr>
          <w:b/>
          <w:i/>
          <w:color w:val="FF6600"/>
        </w:rPr>
        <w:t>висок.</w:t>
      </w:r>
    </w:p>
    <w:p w14:paraId="0AB5AAF6" w14:textId="77777777" w:rsidR="00FA65F8" w:rsidRPr="00E60A7F" w:rsidRDefault="00FA65F8" w:rsidP="00FA65F8">
      <w:pPr>
        <w:pStyle w:val="BodyText"/>
        <w:jc w:val="both"/>
        <w:rPr>
          <w:rFonts w:ascii="Calibri" w:hAnsi="Calibri"/>
          <w:b/>
          <w:color w:val="FF0000"/>
          <w:kern w:val="2"/>
          <w:sz w:val="22"/>
          <w:szCs w:val="22"/>
        </w:rPr>
      </w:pPr>
    </w:p>
    <w:p w14:paraId="766C4A73" w14:textId="77777777" w:rsidR="00FA65F8" w:rsidRPr="00B611B9" w:rsidRDefault="00FA65F8" w:rsidP="00FA65F8">
      <w:pPr>
        <w:numPr>
          <w:ilvl w:val="0"/>
          <w:numId w:val="22"/>
        </w:numPr>
        <w:tabs>
          <w:tab w:val="left" w:pos="426"/>
        </w:tabs>
        <w:ind w:hanging="4973"/>
        <w:jc w:val="both"/>
        <w:rPr>
          <w:b/>
        </w:rPr>
      </w:pPr>
      <w:r w:rsidRPr="00B611B9">
        <w:rPr>
          <w:b/>
        </w:rPr>
        <w:t>Риск, свързан с паричния поток:</w:t>
      </w:r>
    </w:p>
    <w:p w14:paraId="337108A0" w14:textId="77777777" w:rsidR="00FA65F8" w:rsidRPr="00B611B9" w:rsidRDefault="00FA65F8" w:rsidP="00FA65F8">
      <w:pPr>
        <w:pStyle w:val="BodyText"/>
        <w:jc w:val="both"/>
        <w:rPr>
          <w:rFonts w:ascii="Calibri" w:hAnsi="Calibri"/>
          <w:kern w:val="2"/>
          <w:sz w:val="22"/>
          <w:szCs w:val="22"/>
        </w:rPr>
      </w:pPr>
      <w:r>
        <w:rPr>
          <w:rFonts w:ascii="Calibri" w:hAnsi="Calibri"/>
          <w:kern w:val="2"/>
          <w:sz w:val="22"/>
          <w:szCs w:val="22"/>
        </w:rPr>
        <w:t xml:space="preserve">        </w:t>
      </w:r>
      <w:r w:rsidRPr="00B611B9">
        <w:rPr>
          <w:rFonts w:ascii="Calibri" w:hAnsi="Calibri"/>
          <w:kern w:val="2"/>
          <w:sz w:val="22"/>
          <w:szCs w:val="22"/>
        </w:rPr>
        <w:t xml:space="preserve">Рискът, свързан с паричния поток разглежда проблемите с наличните парични средства в дружеството. Тук от съществено значение е договорната политика, която следва да защитава фирмените финанси, като гарантира регулярни входящи потоци от страна на клиенти, както и навременни плащания на задълженията. </w:t>
      </w:r>
    </w:p>
    <w:p w14:paraId="1264BCDE" w14:textId="77777777" w:rsidR="00FA65F8" w:rsidRDefault="00FA65F8" w:rsidP="00FA65F8">
      <w:pPr>
        <w:pStyle w:val="BodyText"/>
        <w:jc w:val="both"/>
        <w:rPr>
          <w:rFonts w:ascii="Calibri" w:hAnsi="Calibri"/>
          <w:kern w:val="2"/>
          <w:sz w:val="22"/>
          <w:szCs w:val="22"/>
          <w:lang w:val="be-BY"/>
        </w:rPr>
      </w:pPr>
      <w:r>
        <w:rPr>
          <w:rFonts w:ascii="Calibri" w:hAnsi="Calibri"/>
          <w:kern w:val="2"/>
          <w:sz w:val="22"/>
          <w:szCs w:val="22"/>
        </w:rPr>
        <w:t xml:space="preserve">         </w:t>
      </w:r>
      <w:r w:rsidRPr="00B611B9">
        <w:rPr>
          <w:rFonts w:ascii="Calibri" w:hAnsi="Calibri"/>
          <w:kern w:val="2"/>
          <w:sz w:val="22"/>
          <w:szCs w:val="22"/>
        </w:rPr>
        <w:t xml:space="preserve">Управлението на риска, свързан с паричните потоци за дружеството ни изисква поддържане на </w:t>
      </w:r>
      <w:r w:rsidRPr="00B611B9">
        <w:rPr>
          <w:rFonts w:ascii="Calibri" w:hAnsi="Calibri"/>
          <w:kern w:val="2"/>
          <w:sz w:val="22"/>
          <w:szCs w:val="22"/>
          <w:lang w:val="be-BY"/>
        </w:rPr>
        <w:t>положителна стойност на ликвидността, т.е. готовност за посрещане на текущите задължения.</w:t>
      </w:r>
    </w:p>
    <w:p w14:paraId="3DAE42DA" w14:textId="77777777" w:rsidR="00FA65F8" w:rsidRPr="00B611B9" w:rsidRDefault="00FA65F8" w:rsidP="00FA65F8">
      <w:pPr>
        <w:pStyle w:val="BodyTextIndent"/>
        <w:numPr>
          <w:ilvl w:val="0"/>
          <w:numId w:val="2"/>
        </w:numPr>
        <w:tabs>
          <w:tab w:val="clear" w:pos="3690"/>
          <w:tab w:val="num" w:pos="284"/>
          <w:tab w:val="num" w:pos="3905"/>
        </w:tabs>
        <w:spacing w:after="0"/>
        <w:ind w:left="284" w:hanging="284"/>
        <w:jc w:val="both"/>
        <w:rPr>
          <w:i/>
        </w:rPr>
      </w:pPr>
      <w:r w:rsidRPr="00B611B9">
        <w:rPr>
          <w:i/>
        </w:rPr>
        <w:t xml:space="preserve">На база посоченото по-горе и анализа на входящите и изходящите ни парични потоци, към момента на изготвяне на настоящия доклад оценяваме риска, свързан с паричния поток като </w:t>
      </w:r>
      <w:r>
        <w:rPr>
          <w:b/>
          <w:i/>
          <w:color w:val="FF6600"/>
        </w:rPr>
        <w:t>висок.</w:t>
      </w:r>
    </w:p>
    <w:p w14:paraId="6147737E" w14:textId="77777777" w:rsidR="00FA65F8" w:rsidRPr="00B611B9" w:rsidRDefault="00FA65F8" w:rsidP="00FA65F8">
      <w:pPr>
        <w:pStyle w:val="BodyText"/>
        <w:jc w:val="both"/>
        <w:rPr>
          <w:rFonts w:ascii="Calibri" w:hAnsi="Calibri"/>
          <w:b/>
          <w:kern w:val="2"/>
          <w:sz w:val="22"/>
          <w:szCs w:val="22"/>
        </w:rPr>
      </w:pPr>
    </w:p>
    <w:p w14:paraId="0D26A1DC" w14:textId="77777777" w:rsidR="00FA65F8" w:rsidRPr="00B611B9" w:rsidRDefault="00FA65F8" w:rsidP="00FA65F8">
      <w:pPr>
        <w:numPr>
          <w:ilvl w:val="0"/>
          <w:numId w:val="22"/>
        </w:numPr>
        <w:tabs>
          <w:tab w:val="left" w:pos="426"/>
        </w:tabs>
        <w:ind w:hanging="4973"/>
        <w:jc w:val="both"/>
        <w:rPr>
          <w:b/>
        </w:rPr>
      </w:pPr>
      <w:r w:rsidRPr="00B611B9">
        <w:rPr>
          <w:b/>
        </w:rPr>
        <w:t>Кредитен риск:</w:t>
      </w:r>
    </w:p>
    <w:p w14:paraId="1E1C3CC8" w14:textId="77777777" w:rsidR="00FA65F8" w:rsidRPr="00B611B9" w:rsidRDefault="00FA65F8" w:rsidP="00FA65F8">
      <w:pPr>
        <w:pStyle w:val="BodyTextIndent"/>
        <w:ind w:left="0"/>
        <w:jc w:val="both"/>
      </w:pPr>
      <w:r w:rsidRPr="00B611B9">
        <w:t xml:space="preserve">Ако дружеството използва заемни средства, то тогава е изложено на кредитен риск. Възниква, когато съществува вероятност кредитополучателят да не изпълнява съзнателно или да е в невъзможност да изпълни поетия от него ангажимент по сключения договор за заем или когато </w:t>
      </w:r>
      <w:r w:rsidRPr="00B611B9">
        <w:lastRenderedPageBreak/>
        <w:t>клиентите на дружеството не са в състояние да изплатят изцяло или в обичайно предвидимите срокове дължимите от тях суми.</w:t>
      </w:r>
    </w:p>
    <w:p w14:paraId="3C547F8D" w14:textId="77777777" w:rsidR="00FA65F8" w:rsidRPr="00B611B9" w:rsidRDefault="00FA65F8" w:rsidP="00FA65F8">
      <w:pPr>
        <w:pStyle w:val="BodyTextIndent"/>
        <w:ind w:left="0"/>
        <w:jc w:val="both"/>
      </w:pPr>
      <w:r w:rsidRPr="00B611B9">
        <w:rPr>
          <w:kern w:val="2"/>
        </w:rPr>
        <w:t xml:space="preserve">Управлението на кредитния риск </w:t>
      </w:r>
      <w:r w:rsidRPr="00B611B9">
        <w:rPr>
          <w:bCs/>
        </w:rPr>
        <w:t xml:space="preserve">за дружеството ни </w:t>
      </w:r>
      <w:r w:rsidRPr="00B611B9">
        <w:rPr>
          <w:kern w:val="2"/>
        </w:rPr>
        <w:t>изисква предоставяне на отсрочени плащания (продажби с отложен падеж) на клиенти с дългогодишна история и партньорски взаимоотношения, добро финансово състояние и липса на нарушения по спазване на кредитния период. Кредитната ни политика има отношение към събираемостта на вземанията, които следва да се контролират текущо чрез ежедневен преглед на откритите позиции по клиенти и извършените плащания.</w:t>
      </w:r>
    </w:p>
    <w:p w14:paraId="10AE1539" w14:textId="77777777" w:rsidR="00FA65F8" w:rsidRPr="00B611B9" w:rsidRDefault="00FA65F8" w:rsidP="00FA65F8">
      <w:pPr>
        <w:pStyle w:val="BodyTextIndent"/>
        <w:numPr>
          <w:ilvl w:val="0"/>
          <w:numId w:val="2"/>
        </w:numPr>
        <w:tabs>
          <w:tab w:val="clear" w:pos="3690"/>
          <w:tab w:val="left" w:pos="284"/>
          <w:tab w:val="num" w:pos="3905"/>
        </w:tabs>
        <w:spacing w:after="0"/>
        <w:ind w:left="284" w:hanging="284"/>
        <w:jc w:val="both"/>
        <w:rPr>
          <w:i/>
        </w:rPr>
      </w:pPr>
      <w:r w:rsidRPr="00B611B9">
        <w:rPr>
          <w:i/>
        </w:rPr>
        <w:t xml:space="preserve">На база посоченото по-горе, познаването на кредитната политика на банките, състоянието на банковавата система по време на финансова криза, както и кредитната политика на дружеството, към момента на изготвяне на настоящия доклад оценяваме кредитния риск като </w:t>
      </w:r>
      <w:r>
        <w:rPr>
          <w:b/>
          <w:i/>
          <w:color w:val="FF6600"/>
        </w:rPr>
        <w:t>без риск</w:t>
      </w:r>
      <w:r w:rsidRPr="00AA4F9A">
        <w:rPr>
          <w:b/>
          <w:i/>
          <w:color w:val="FF6600"/>
        </w:rPr>
        <w:t>.</w:t>
      </w:r>
    </w:p>
    <w:p w14:paraId="0170ECC0" w14:textId="77777777" w:rsidR="00FA65F8" w:rsidRPr="00E60A7F" w:rsidRDefault="00FA65F8" w:rsidP="00FA65F8">
      <w:pPr>
        <w:pStyle w:val="BodyTextIndent"/>
        <w:tabs>
          <w:tab w:val="left" w:pos="284"/>
        </w:tabs>
        <w:spacing w:after="0"/>
        <w:ind w:left="0"/>
        <w:jc w:val="both"/>
        <w:rPr>
          <w:i/>
          <w:color w:val="FF0000"/>
        </w:rPr>
      </w:pPr>
    </w:p>
    <w:p w14:paraId="64372856" w14:textId="77777777" w:rsidR="00FA65F8" w:rsidRPr="00B611B9" w:rsidRDefault="00FA65F8" w:rsidP="00FA65F8">
      <w:pPr>
        <w:numPr>
          <w:ilvl w:val="0"/>
          <w:numId w:val="22"/>
        </w:numPr>
        <w:tabs>
          <w:tab w:val="left" w:pos="426"/>
        </w:tabs>
        <w:ind w:hanging="4973"/>
        <w:jc w:val="both"/>
        <w:rPr>
          <w:b/>
        </w:rPr>
      </w:pPr>
      <w:r w:rsidRPr="00B611B9">
        <w:rPr>
          <w:b/>
        </w:rPr>
        <w:t>Инвестиционен риск:</w:t>
      </w:r>
    </w:p>
    <w:p w14:paraId="331359FD" w14:textId="77777777" w:rsidR="00FA65F8" w:rsidRPr="00B611B9" w:rsidRDefault="00FA65F8" w:rsidP="00FA65F8">
      <w:pPr>
        <w:pStyle w:val="BodyText"/>
        <w:jc w:val="both"/>
        <w:rPr>
          <w:rFonts w:ascii="Calibri" w:hAnsi="Calibri"/>
          <w:kern w:val="2"/>
          <w:sz w:val="22"/>
          <w:szCs w:val="22"/>
          <w:lang w:val="be-BY"/>
        </w:rPr>
      </w:pPr>
      <w:r>
        <w:rPr>
          <w:rFonts w:ascii="Calibri" w:hAnsi="Calibri"/>
          <w:kern w:val="2"/>
          <w:sz w:val="22"/>
          <w:szCs w:val="22"/>
          <w:lang w:val="be-BY"/>
        </w:rPr>
        <w:t xml:space="preserve">         </w:t>
      </w:r>
      <w:r w:rsidRPr="00B611B9">
        <w:rPr>
          <w:rFonts w:ascii="Calibri" w:hAnsi="Calibri"/>
          <w:kern w:val="2"/>
          <w:sz w:val="22"/>
          <w:szCs w:val="22"/>
          <w:lang w:val="be-BY"/>
        </w:rPr>
        <w:t>Инвестиционният риск се изразява в това дали реалната доходност от направена инвестиция се различава от предварително планираната такава. Поради дефицита на финансов ресурс и съществуващата финансова криза, банките не финансират много от проектите, класирани по новите рискови матрици. Налага се преразглеждане на планираните инвестиции и специално внимание върху тези с критична значимост за успеха на дружеството и върху тези с бърза възвръщаемост.</w:t>
      </w:r>
    </w:p>
    <w:p w14:paraId="08700FB0" w14:textId="77777777" w:rsidR="00FA65F8" w:rsidRDefault="00FA65F8" w:rsidP="00FA65F8">
      <w:pPr>
        <w:pStyle w:val="BodyText"/>
        <w:jc w:val="both"/>
        <w:rPr>
          <w:rFonts w:ascii="Calibri" w:hAnsi="Calibri"/>
          <w:kern w:val="2"/>
          <w:sz w:val="22"/>
          <w:szCs w:val="22"/>
          <w:lang w:val="be-BY"/>
        </w:rPr>
      </w:pPr>
      <w:r>
        <w:rPr>
          <w:rFonts w:ascii="Calibri" w:hAnsi="Calibri"/>
          <w:kern w:val="2"/>
          <w:sz w:val="22"/>
          <w:szCs w:val="22"/>
          <w:lang w:val="be-BY"/>
        </w:rPr>
        <w:t xml:space="preserve">         </w:t>
      </w:r>
      <w:r w:rsidRPr="00B611B9">
        <w:rPr>
          <w:rFonts w:ascii="Calibri" w:hAnsi="Calibri"/>
          <w:kern w:val="2"/>
          <w:sz w:val="22"/>
          <w:szCs w:val="22"/>
          <w:lang w:val="be-BY"/>
        </w:rPr>
        <w:t xml:space="preserve">За управление на инвестиционния риск се прилага политика на хеджиране - застраховка срещу неблагоприятни събития, която не ги предотвратява, но ограничава последиците от тях. </w:t>
      </w:r>
    </w:p>
    <w:p w14:paraId="4E167F12" w14:textId="77777777" w:rsidR="00FA65F8" w:rsidRPr="00B611B9" w:rsidRDefault="00FA65F8" w:rsidP="00FA65F8">
      <w:pPr>
        <w:pStyle w:val="BodyTextIndent"/>
        <w:numPr>
          <w:ilvl w:val="0"/>
          <w:numId w:val="2"/>
        </w:numPr>
        <w:tabs>
          <w:tab w:val="clear" w:pos="3690"/>
          <w:tab w:val="num" w:pos="284"/>
          <w:tab w:val="num" w:pos="3905"/>
        </w:tabs>
        <w:spacing w:after="0"/>
        <w:ind w:left="284" w:hanging="284"/>
        <w:jc w:val="both"/>
        <w:rPr>
          <w:b/>
          <w:i/>
        </w:rPr>
      </w:pPr>
      <w:r w:rsidRPr="00B611B9">
        <w:rPr>
          <w:i/>
        </w:rPr>
        <w:t xml:space="preserve">На база посоченото по-горе и реализираните от нас инвестиционни мероприятия, към момента на изготвяне на настоящия доклад, оценяваме инвестиционния риск като </w:t>
      </w:r>
      <w:r>
        <w:rPr>
          <w:b/>
          <w:i/>
          <w:color w:val="FF6600"/>
        </w:rPr>
        <w:t>без риск</w:t>
      </w:r>
      <w:r w:rsidRPr="00B611B9">
        <w:rPr>
          <w:b/>
          <w:i/>
        </w:rPr>
        <w:t>.</w:t>
      </w:r>
    </w:p>
    <w:p w14:paraId="5015AEDA" w14:textId="77777777" w:rsidR="00FA65F8" w:rsidRPr="00B611B9" w:rsidRDefault="00FA65F8" w:rsidP="00FA65F8">
      <w:pPr>
        <w:pStyle w:val="BodyText"/>
        <w:jc w:val="both"/>
        <w:rPr>
          <w:rFonts w:ascii="Calibri" w:hAnsi="Calibri"/>
          <w:b/>
          <w:kern w:val="2"/>
          <w:sz w:val="22"/>
          <w:szCs w:val="22"/>
          <w:lang w:val="be-BY"/>
        </w:rPr>
      </w:pPr>
    </w:p>
    <w:p w14:paraId="6AE1CED0" w14:textId="77777777" w:rsidR="00FA65F8" w:rsidRPr="00B611B9" w:rsidRDefault="00FA65F8" w:rsidP="00FA65F8">
      <w:pPr>
        <w:numPr>
          <w:ilvl w:val="0"/>
          <w:numId w:val="22"/>
        </w:numPr>
        <w:tabs>
          <w:tab w:val="left" w:pos="426"/>
        </w:tabs>
        <w:ind w:hanging="4973"/>
        <w:jc w:val="both"/>
        <w:rPr>
          <w:b/>
        </w:rPr>
      </w:pPr>
      <w:r w:rsidRPr="00B611B9">
        <w:rPr>
          <w:b/>
        </w:rPr>
        <w:t>Регулативен риск:</w:t>
      </w:r>
    </w:p>
    <w:p w14:paraId="73C7F7CC" w14:textId="77777777" w:rsidR="00FA65F8" w:rsidRDefault="00FA65F8" w:rsidP="00FA65F8">
      <w:pPr>
        <w:jc w:val="both"/>
      </w:pPr>
      <w:r>
        <w:t xml:space="preserve">        </w:t>
      </w:r>
      <w:r w:rsidRPr="00B611B9">
        <w:t xml:space="preserve">Регулативният риск е свързан с вероятността да се понесат загуби в резултат на нарушения или неспазване на законовите и подзаконови нормативни актове или вътрешнодружествените документи, както и от загуби в резултат на интервенция на данъчните власти. </w:t>
      </w:r>
    </w:p>
    <w:p w14:paraId="597A3F39" w14:textId="77777777" w:rsidR="00FA65F8" w:rsidRDefault="00FA65F8" w:rsidP="00FA65F8">
      <w:pPr>
        <w:jc w:val="both"/>
      </w:pPr>
      <w:r>
        <w:t xml:space="preserve">        </w:t>
      </w:r>
      <w:r w:rsidRPr="00B611B9">
        <w:t xml:space="preserve">Този риск се отнася и за промени в нормативната база, свързани с опазването на околната среда, както и с вероятността дружеството да не бъде в състояние да </w:t>
      </w:r>
      <w:r w:rsidRPr="00B611B9">
        <w:rPr>
          <w:kern w:val="2"/>
        </w:rPr>
        <w:t>изпълнява</w:t>
      </w:r>
      <w:r w:rsidRPr="00B611B9">
        <w:t xml:space="preserve"> предписанията и изискванията на екологичното законодателство и компетентните органи, за което да му бъдат налагани съответните наказания.</w:t>
      </w:r>
    </w:p>
    <w:p w14:paraId="41D8601F" w14:textId="77777777" w:rsidR="00FA65F8" w:rsidRPr="00AA4F9A" w:rsidRDefault="00FA65F8" w:rsidP="00FA65F8">
      <w:pPr>
        <w:pStyle w:val="BodyTextIndent"/>
        <w:numPr>
          <w:ilvl w:val="0"/>
          <w:numId w:val="2"/>
        </w:numPr>
        <w:tabs>
          <w:tab w:val="clear" w:pos="3690"/>
          <w:tab w:val="num" w:pos="284"/>
          <w:tab w:val="num" w:pos="3905"/>
        </w:tabs>
        <w:spacing w:after="0"/>
        <w:ind w:left="284" w:hanging="284"/>
        <w:jc w:val="both"/>
        <w:rPr>
          <w:b/>
          <w:i/>
          <w:color w:val="FF6600"/>
        </w:rPr>
      </w:pPr>
      <w:r w:rsidRPr="00B611B9">
        <w:rPr>
          <w:i/>
        </w:rPr>
        <w:t xml:space="preserve">На база посоченото по-горе, прилаганата от дружеството ни екологична политика и познаването на нормативната база, към момента на изготвяне на настоящия доклад, оценяваме регулативния риск като </w:t>
      </w:r>
      <w:r w:rsidRPr="00AA4F9A">
        <w:rPr>
          <w:b/>
          <w:i/>
          <w:color w:val="FF6600"/>
        </w:rPr>
        <w:t xml:space="preserve">нисък. </w:t>
      </w:r>
    </w:p>
    <w:p w14:paraId="1D22C1F0" w14:textId="77777777" w:rsidR="00FA65F8" w:rsidRPr="00E60A7F" w:rsidRDefault="00FA65F8" w:rsidP="00FA65F8">
      <w:pPr>
        <w:pStyle w:val="BodyText"/>
        <w:jc w:val="both"/>
        <w:rPr>
          <w:rFonts w:ascii="Calibri" w:hAnsi="Calibri"/>
          <w:b/>
          <w:color w:val="FF0000"/>
          <w:sz w:val="22"/>
          <w:szCs w:val="22"/>
          <w:lang w:val="be-BY"/>
        </w:rPr>
      </w:pPr>
    </w:p>
    <w:p w14:paraId="5976C3D7" w14:textId="77777777" w:rsidR="00FA65F8" w:rsidRPr="00B611B9" w:rsidRDefault="00FA65F8" w:rsidP="00FA65F8">
      <w:pPr>
        <w:numPr>
          <w:ilvl w:val="0"/>
          <w:numId w:val="22"/>
        </w:numPr>
        <w:tabs>
          <w:tab w:val="left" w:pos="426"/>
        </w:tabs>
        <w:ind w:hanging="4973"/>
        <w:jc w:val="both"/>
        <w:rPr>
          <w:b/>
        </w:rPr>
      </w:pPr>
      <w:r w:rsidRPr="00B611B9">
        <w:rPr>
          <w:b/>
        </w:rPr>
        <w:t>Рискове, свързани с продуктите и пазарите:</w:t>
      </w:r>
    </w:p>
    <w:p w14:paraId="3C43FD07" w14:textId="77777777" w:rsidR="00FA65F8" w:rsidRPr="00B611B9" w:rsidRDefault="00FA65F8" w:rsidP="00FA65F8">
      <w:pPr>
        <w:jc w:val="both"/>
      </w:pPr>
      <w:r>
        <w:t xml:space="preserve">        </w:t>
      </w:r>
      <w:r w:rsidRPr="00B611B9">
        <w:t>Този риск се свързва с възможността на дружеството да произвежда продукти / услуги, които не могат да се реализират успешно на съществуващия пазар. Рисковете по отношение на пазарите са свързани с ограниченията, които налагат международните пазари по отношение стандартите за качество. Пазарната война се води предимно на база цена, което води до нейното редуциране.</w:t>
      </w:r>
    </w:p>
    <w:p w14:paraId="174EBAEE" w14:textId="77777777" w:rsidR="00FA65F8" w:rsidRDefault="00FA65F8" w:rsidP="00FA65F8">
      <w:pPr>
        <w:jc w:val="both"/>
      </w:pPr>
      <w:r>
        <w:t xml:space="preserve">         </w:t>
      </w:r>
      <w:r w:rsidRPr="00B611B9">
        <w:t>Управлението на риска, свързан с продуктите и пазарите за дружеството ни изисква прецизна сегментация и анализ на потенциала на съществуващите пазарни сегменти и при необходимост – проучване на възможностите за диверсифициране на дейността (разработване на нови продукти и услуги за нови пазари).</w:t>
      </w:r>
    </w:p>
    <w:p w14:paraId="4265F794" w14:textId="77777777" w:rsidR="00FA65F8" w:rsidRPr="00B611B9" w:rsidRDefault="00FA65F8" w:rsidP="00FA65F8">
      <w:pPr>
        <w:pStyle w:val="BodyTextIndent"/>
        <w:numPr>
          <w:ilvl w:val="0"/>
          <w:numId w:val="2"/>
        </w:numPr>
        <w:tabs>
          <w:tab w:val="clear" w:pos="3690"/>
          <w:tab w:val="num" w:pos="284"/>
          <w:tab w:val="num" w:pos="3905"/>
        </w:tabs>
        <w:spacing w:after="0"/>
        <w:ind w:left="284" w:hanging="284"/>
        <w:jc w:val="both"/>
        <w:rPr>
          <w:b/>
          <w:i/>
        </w:rPr>
      </w:pPr>
      <w:r w:rsidRPr="00B611B9">
        <w:rPr>
          <w:i/>
        </w:rPr>
        <w:t xml:space="preserve">На база посоченото по-горе и изпълнението на продуктовата и пласментната ни политики, към момента на изготвяне на настоящия доклад оценяваме рисковете, свързани с продуктите и пазарите като </w:t>
      </w:r>
      <w:r w:rsidRPr="00AA4F9A">
        <w:rPr>
          <w:b/>
          <w:i/>
          <w:color w:val="FF6600"/>
        </w:rPr>
        <w:t>нисък.</w:t>
      </w:r>
    </w:p>
    <w:p w14:paraId="5CD7CEAB" w14:textId="77777777" w:rsidR="00FA65F8" w:rsidRPr="00E60A7F" w:rsidRDefault="00FA65F8" w:rsidP="00FA65F8">
      <w:pPr>
        <w:tabs>
          <w:tab w:val="left" w:pos="426"/>
        </w:tabs>
        <w:jc w:val="both"/>
        <w:rPr>
          <w:b/>
          <w:color w:val="FF0000"/>
        </w:rPr>
      </w:pPr>
    </w:p>
    <w:p w14:paraId="5E205128" w14:textId="77777777" w:rsidR="00FA65F8" w:rsidRPr="00B611B9" w:rsidRDefault="00FA65F8" w:rsidP="00FA65F8">
      <w:pPr>
        <w:numPr>
          <w:ilvl w:val="0"/>
          <w:numId w:val="22"/>
        </w:numPr>
        <w:tabs>
          <w:tab w:val="left" w:pos="426"/>
        </w:tabs>
        <w:ind w:hanging="4973"/>
        <w:jc w:val="both"/>
        <w:rPr>
          <w:b/>
        </w:rPr>
      </w:pPr>
      <w:r w:rsidRPr="00B611B9">
        <w:rPr>
          <w:b/>
        </w:rPr>
        <w:t>Риск, свързан с корпоративната сигурност:</w:t>
      </w:r>
    </w:p>
    <w:p w14:paraId="18D65FF9" w14:textId="77777777" w:rsidR="00FA65F8" w:rsidRDefault="00FA65F8" w:rsidP="00FA65F8">
      <w:pPr>
        <w:jc w:val="both"/>
      </w:pPr>
      <w:r w:rsidRPr="00B611B9">
        <w:t xml:space="preserve">Този риск е актуален и засяга редица аспекти от фирмената сигурност като ефективно противодействие на нелоялната конкуренция; надеждна защита на търговската тайна; прилагане на </w:t>
      </w:r>
      <w:r w:rsidRPr="00B611B9">
        <w:lastRenderedPageBreak/>
        <w:t>практически мерки за редуциране и неутрализиране на корпоративни заплахи; мотивиране, обучаване и възпитаване на служителите за избягване пропуски в системата за фирмена сигурност.</w:t>
      </w:r>
    </w:p>
    <w:p w14:paraId="732C9145" w14:textId="77777777" w:rsidR="00FA65F8" w:rsidRPr="00024210" w:rsidRDefault="00FA65F8" w:rsidP="00FA65F8">
      <w:pPr>
        <w:pStyle w:val="BodyTextIndent"/>
        <w:numPr>
          <w:ilvl w:val="0"/>
          <w:numId w:val="2"/>
        </w:numPr>
        <w:tabs>
          <w:tab w:val="clear" w:pos="3690"/>
          <w:tab w:val="num" w:pos="284"/>
          <w:tab w:val="num" w:pos="3905"/>
        </w:tabs>
        <w:spacing w:after="0"/>
        <w:ind w:left="284" w:hanging="284"/>
        <w:jc w:val="both"/>
        <w:rPr>
          <w:b/>
          <w:i/>
          <w:color w:val="FF6600"/>
        </w:rPr>
      </w:pPr>
      <w:r w:rsidRPr="00B611B9">
        <w:rPr>
          <w:i/>
        </w:rPr>
        <w:t xml:space="preserve">На база посоченото по-горе и познаване нивото на фирмена сигурност, към момента на изготвяне на настоящия доклад оценяваме риска, свързан с корпоративната сигурност като </w:t>
      </w:r>
      <w:r>
        <w:rPr>
          <w:b/>
          <w:i/>
          <w:color w:val="FF6600"/>
        </w:rPr>
        <w:t>среден</w:t>
      </w:r>
      <w:r w:rsidRPr="00024210">
        <w:rPr>
          <w:b/>
          <w:i/>
          <w:color w:val="FF6600"/>
        </w:rPr>
        <w:t>.</w:t>
      </w:r>
    </w:p>
    <w:p w14:paraId="1196D241" w14:textId="77777777" w:rsidR="00FA65F8" w:rsidRDefault="00FA65F8" w:rsidP="00FA65F8">
      <w:pPr>
        <w:pStyle w:val="BodyTextIndent"/>
        <w:tabs>
          <w:tab w:val="num" w:pos="3905"/>
        </w:tabs>
        <w:spacing w:after="0"/>
        <w:ind w:left="0"/>
        <w:jc w:val="both"/>
        <w:rPr>
          <w:b/>
          <w:i/>
        </w:rPr>
      </w:pPr>
    </w:p>
    <w:p w14:paraId="620CB9E3" w14:textId="77777777" w:rsidR="00FA65F8" w:rsidRPr="001D6B19" w:rsidRDefault="00FA65F8" w:rsidP="00FA65F8">
      <w:pPr>
        <w:jc w:val="center"/>
        <w:rPr>
          <w:b/>
          <w:i/>
          <w:color w:val="E36C0A"/>
          <w:lang w:val="ru-RU"/>
        </w:rPr>
      </w:pPr>
      <w:r w:rsidRPr="00165FB0">
        <w:rPr>
          <w:b/>
          <w:i/>
          <w:color w:val="E36C0A"/>
        </w:rPr>
        <w:t>ТАБЛИЦА НА АКТИВ</w:t>
      </w:r>
      <w:r w:rsidRPr="00165FB0">
        <w:rPr>
          <w:rFonts w:ascii="Arial" w:hAnsi="Arial" w:cs="Arial"/>
          <w:b/>
          <w:i/>
          <w:color w:val="E36C0A"/>
          <w:vertAlign w:val="superscript"/>
        </w:rPr>
        <w:t>®</w:t>
      </w:r>
      <w:r w:rsidRPr="00165FB0">
        <w:rPr>
          <w:b/>
          <w:i/>
          <w:color w:val="E36C0A"/>
        </w:rPr>
        <w:t xml:space="preserve"> ЗА ПРОХОДИМОСТТА НА БИЗНЕСА</w:t>
      </w:r>
    </w:p>
    <w:tbl>
      <w:tblPr>
        <w:tblW w:w="10020" w:type="dxa"/>
        <w:tblInd w:w="-474" w:type="dxa"/>
        <w:tblCellMar>
          <w:left w:w="70" w:type="dxa"/>
          <w:right w:w="70" w:type="dxa"/>
        </w:tblCellMar>
        <w:tblLook w:val="0000" w:firstRow="0" w:lastRow="0" w:firstColumn="0" w:lastColumn="0" w:noHBand="0" w:noVBand="0"/>
      </w:tblPr>
      <w:tblGrid>
        <w:gridCol w:w="1380"/>
        <w:gridCol w:w="500"/>
        <w:gridCol w:w="500"/>
        <w:gridCol w:w="500"/>
        <w:gridCol w:w="500"/>
        <w:gridCol w:w="580"/>
        <w:gridCol w:w="500"/>
        <w:gridCol w:w="500"/>
        <w:gridCol w:w="500"/>
        <w:gridCol w:w="500"/>
        <w:gridCol w:w="500"/>
        <w:gridCol w:w="500"/>
        <w:gridCol w:w="500"/>
        <w:gridCol w:w="500"/>
        <w:gridCol w:w="500"/>
        <w:gridCol w:w="520"/>
        <w:gridCol w:w="520"/>
        <w:gridCol w:w="520"/>
      </w:tblGrid>
      <w:tr w:rsidR="00FA65F8" w:rsidRPr="003C798E" w14:paraId="4ED27E7F" w14:textId="77777777" w:rsidTr="00FC6081">
        <w:trPr>
          <w:trHeight w:val="3922"/>
        </w:trPr>
        <w:tc>
          <w:tcPr>
            <w:tcW w:w="1380" w:type="dxa"/>
            <w:tcBorders>
              <w:top w:val="double" w:sz="6" w:space="0" w:color="FF6600"/>
              <w:left w:val="double" w:sz="6" w:space="0" w:color="FF6600"/>
              <w:bottom w:val="nil"/>
              <w:right w:val="double" w:sz="6" w:space="0" w:color="FFFFFF"/>
            </w:tcBorders>
            <w:shd w:val="clear" w:color="auto" w:fill="FF6600"/>
            <w:vAlign w:val="center"/>
          </w:tcPr>
          <w:p w14:paraId="1D443519" w14:textId="77777777" w:rsidR="00FA65F8" w:rsidRPr="003C798E" w:rsidRDefault="00FA65F8" w:rsidP="00FC6081">
            <w:pPr>
              <w:jc w:val="center"/>
              <w:rPr>
                <w:rFonts w:eastAsia="Times New Roman" w:cs="Arial"/>
                <w:b/>
                <w:bCs/>
                <w:color w:val="FFFFFF"/>
                <w:sz w:val="18"/>
                <w:szCs w:val="18"/>
                <w:lang w:eastAsia="bg-BG"/>
              </w:rPr>
            </w:pPr>
            <w:r w:rsidRPr="003C798E">
              <w:rPr>
                <w:rFonts w:eastAsia="Times New Roman" w:cs="Arial"/>
                <w:b/>
                <w:bCs/>
                <w:color w:val="FFFFFF"/>
                <w:sz w:val="18"/>
                <w:szCs w:val="18"/>
                <w:lang w:eastAsia="bg-BG"/>
              </w:rPr>
              <w:t> </w:t>
            </w:r>
          </w:p>
        </w:tc>
        <w:tc>
          <w:tcPr>
            <w:tcW w:w="500" w:type="dxa"/>
            <w:tcBorders>
              <w:top w:val="double" w:sz="6" w:space="0" w:color="FF6600"/>
              <w:left w:val="nil"/>
              <w:bottom w:val="double" w:sz="6" w:space="0" w:color="FF6600"/>
              <w:right w:val="double" w:sz="6" w:space="0" w:color="FFFFFF"/>
            </w:tcBorders>
            <w:shd w:val="clear" w:color="auto" w:fill="FF6600"/>
            <w:textDirection w:val="btLr"/>
            <w:vAlign w:val="center"/>
          </w:tcPr>
          <w:p w14:paraId="5CB5CEAE" w14:textId="77777777" w:rsidR="00FA65F8" w:rsidRPr="003C798E" w:rsidRDefault="00FA65F8" w:rsidP="00FC6081">
            <w:pPr>
              <w:jc w:val="center"/>
              <w:rPr>
                <w:rFonts w:eastAsia="Times New Roman" w:cs="Arial"/>
                <w:b/>
                <w:bCs/>
                <w:color w:val="FFFFFF"/>
                <w:sz w:val="20"/>
                <w:szCs w:val="20"/>
                <w:lang w:eastAsia="bg-BG"/>
              </w:rPr>
            </w:pPr>
            <w:r w:rsidRPr="003C798E">
              <w:rPr>
                <w:rFonts w:eastAsia="Times New Roman" w:cs="Arial"/>
                <w:b/>
                <w:bCs/>
                <w:color w:val="FFFFFF"/>
                <w:sz w:val="20"/>
                <w:szCs w:val="20"/>
                <w:lang w:eastAsia="bg-BG"/>
              </w:rPr>
              <w:t>Политически риск</w:t>
            </w:r>
          </w:p>
        </w:tc>
        <w:tc>
          <w:tcPr>
            <w:tcW w:w="500" w:type="dxa"/>
            <w:tcBorders>
              <w:top w:val="double" w:sz="6" w:space="0" w:color="FF6600"/>
              <w:left w:val="nil"/>
              <w:bottom w:val="double" w:sz="6" w:space="0" w:color="FF6600"/>
              <w:right w:val="double" w:sz="6" w:space="0" w:color="FFFFFF"/>
            </w:tcBorders>
            <w:shd w:val="clear" w:color="auto" w:fill="FF6600"/>
            <w:textDirection w:val="btLr"/>
            <w:vAlign w:val="center"/>
          </w:tcPr>
          <w:p w14:paraId="45C6D7CE" w14:textId="77777777" w:rsidR="00FA65F8" w:rsidRPr="003C798E" w:rsidRDefault="00FA65F8" w:rsidP="00FC6081">
            <w:pPr>
              <w:jc w:val="center"/>
              <w:rPr>
                <w:rFonts w:eastAsia="Times New Roman" w:cs="Arial"/>
                <w:b/>
                <w:bCs/>
                <w:color w:val="FFFFFF"/>
                <w:sz w:val="20"/>
                <w:szCs w:val="20"/>
                <w:lang w:eastAsia="bg-BG"/>
              </w:rPr>
            </w:pPr>
            <w:r w:rsidRPr="003C798E">
              <w:rPr>
                <w:rFonts w:eastAsia="Times New Roman" w:cs="Arial"/>
                <w:b/>
                <w:bCs/>
                <w:color w:val="FFFFFF"/>
                <w:sz w:val="20"/>
                <w:szCs w:val="20"/>
                <w:lang w:eastAsia="bg-BG"/>
              </w:rPr>
              <w:t>Валутен риск</w:t>
            </w:r>
          </w:p>
        </w:tc>
        <w:tc>
          <w:tcPr>
            <w:tcW w:w="500" w:type="dxa"/>
            <w:tcBorders>
              <w:top w:val="double" w:sz="6" w:space="0" w:color="FF6600"/>
              <w:left w:val="nil"/>
              <w:bottom w:val="double" w:sz="6" w:space="0" w:color="FF6600"/>
              <w:right w:val="double" w:sz="6" w:space="0" w:color="FFFFFF"/>
            </w:tcBorders>
            <w:shd w:val="clear" w:color="auto" w:fill="FF6600"/>
            <w:textDirection w:val="btLr"/>
            <w:vAlign w:val="center"/>
          </w:tcPr>
          <w:p w14:paraId="7851D791" w14:textId="77777777" w:rsidR="00FA65F8" w:rsidRPr="003C798E" w:rsidRDefault="00FA65F8" w:rsidP="00FC6081">
            <w:pPr>
              <w:jc w:val="center"/>
              <w:rPr>
                <w:rFonts w:eastAsia="Times New Roman" w:cs="Arial"/>
                <w:b/>
                <w:bCs/>
                <w:color w:val="FFFFFF"/>
                <w:sz w:val="20"/>
                <w:szCs w:val="20"/>
                <w:lang w:eastAsia="bg-BG"/>
              </w:rPr>
            </w:pPr>
            <w:r w:rsidRPr="003C798E">
              <w:rPr>
                <w:rFonts w:eastAsia="Times New Roman" w:cs="Arial"/>
                <w:b/>
                <w:bCs/>
                <w:color w:val="FFFFFF"/>
                <w:sz w:val="20"/>
                <w:szCs w:val="20"/>
                <w:lang w:eastAsia="bg-BG"/>
              </w:rPr>
              <w:t>Инфлационен риск</w:t>
            </w:r>
          </w:p>
        </w:tc>
        <w:tc>
          <w:tcPr>
            <w:tcW w:w="500" w:type="dxa"/>
            <w:tcBorders>
              <w:top w:val="double" w:sz="6" w:space="0" w:color="FF6600"/>
              <w:left w:val="nil"/>
              <w:bottom w:val="double" w:sz="6" w:space="0" w:color="FF6600"/>
              <w:right w:val="double" w:sz="6" w:space="0" w:color="FFFFFF"/>
            </w:tcBorders>
            <w:shd w:val="clear" w:color="auto" w:fill="FF6600"/>
            <w:textDirection w:val="btLr"/>
            <w:vAlign w:val="center"/>
          </w:tcPr>
          <w:p w14:paraId="76C7DECB" w14:textId="77777777" w:rsidR="00FA65F8" w:rsidRPr="003C798E" w:rsidRDefault="00FA65F8" w:rsidP="00FC6081">
            <w:pPr>
              <w:jc w:val="center"/>
              <w:rPr>
                <w:rFonts w:eastAsia="Times New Roman" w:cs="Arial"/>
                <w:b/>
                <w:bCs/>
                <w:color w:val="FFFFFF"/>
                <w:sz w:val="20"/>
                <w:szCs w:val="20"/>
                <w:lang w:eastAsia="bg-BG"/>
              </w:rPr>
            </w:pPr>
            <w:r w:rsidRPr="003C798E">
              <w:rPr>
                <w:rFonts w:eastAsia="Times New Roman" w:cs="Arial"/>
                <w:b/>
                <w:bCs/>
                <w:color w:val="FFFFFF"/>
                <w:sz w:val="20"/>
                <w:szCs w:val="20"/>
                <w:lang w:eastAsia="bg-BG"/>
              </w:rPr>
              <w:t>Риск от лицензионни режими</w:t>
            </w:r>
          </w:p>
        </w:tc>
        <w:tc>
          <w:tcPr>
            <w:tcW w:w="580" w:type="dxa"/>
            <w:tcBorders>
              <w:top w:val="double" w:sz="6" w:space="0" w:color="FF6600"/>
              <w:left w:val="nil"/>
              <w:bottom w:val="double" w:sz="6" w:space="0" w:color="FF6600"/>
              <w:right w:val="double" w:sz="6" w:space="0" w:color="FFFFFF"/>
            </w:tcBorders>
            <w:shd w:val="clear" w:color="auto" w:fill="FF6600"/>
            <w:textDirection w:val="btLr"/>
            <w:vAlign w:val="center"/>
          </w:tcPr>
          <w:p w14:paraId="6CBAFB2B" w14:textId="77777777" w:rsidR="00FA65F8" w:rsidRPr="003C798E" w:rsidRDefault="00FA65F8" w:rsidP="00FC6081">
            <w:pPr>
              <w:jc w:val="center"/>
              <w:rPr>
                <w:rFonts w:eastAsia="Times New Roman" w:cs="Arial"/>
                <w:b/>
                <w:bCs/>
                <w:color w:val="FFFFFF"/>
                <w:sz w:val="20"/>
                <w:szCs w:val="20"/>
                <w:lang w:eastAsia="bg-BG"/>
              </w:rPr>
            </w:pPr>
            <w:r w:rsidRPr="003C798E">
              <w:rPr>
                <w:rFonts w:eastAsia="Times New Roman" w:cs="Arial"/>
                <w:b/>
                <w:bCs/>
                <w:color w:val="FFFFFF"/>
                <w:sz w:val="20"/>
                <w:szCs w:val="20"/>
                <w:lang w:eastAsia="bg-BG"/>
              </w:rPr>
              <w:t>Други рискове, свързани с влиянието на основни макроикономически фактори</w:t>
            </w:r>
          </w:p>
        </w:tc>
        <w:tc>
          <w:tcPr>
            <w:tcW w:w="500" w:type="dxa"/>
            <w:tcBorders>
              <w:top w:val="double" w:sz="6" w:space="0" w:color="FF6600"/>
              <w:left w:val="nil"/>
              <w:bottom w:val="double" w:sz="6" w:space="0" w:color="FF6600"/>
              <w:right w:val="double" w:sz="6" w:space="0" w:color="FFFFFF"/>
            </w:tcBorders>
            <w:shd w:val="clear" w:color="auto" w:fill="FF6600"/>
            <w:textDirection w:val="btLr"/>
            <w:vAlign w:val="center"/>
          </w:tcPr>
          <w:p w14:paraId="5C429056" w14:textId="77777777" w:rsidR="00FA65F8" w:rsidRPr="003C798E" w:rsidRDefault="00FA65F8" w:rsidP="00FC6081">
            <w:pPr>
              <w:jc w:val="center"/>
              <w:rPr>
                <w:rFonts w:eastAsia="Times New Roman" w:cs="Arial"/>
                <w:b/>
                <w:bCs/>
                <w:color w:val="FFFFFF"/>
                <w:sz w:val="20"/>
                <w:szCs w:val="20"/>
                <w:lang w:eastAsia="bg-BG"/>
              </w:rPr>
            </w:pPr>
            <w:r w:rsidRPr="003C798E">
              <w:rPr>
                <w:rFonts w:eastAsia="Times New Roman" w:cs="Arial"/>
                <w:b/>
                <w:bCs/>
                <w:color w:val="FFFFFF"/>
                <w:sz w:val="20"/>
                <w:szCs w:val="20"/>
                <w:lang w:eastAsia="bg-BG"/>
              </w:rPr>
              <w:t>Секторен риск</w:t>
            </w:r>
          </w:p>
        </w:tc>
        <w:tc>
          <w:tcPr>
            <w:tcW w:w="500" w:type="dxa"/>
            <w:tcBorders>
              <w:top w:val="double" w:sz="6" w:space="0" w:color="FF6600"/>
              <w:left w:val="nil"/>
              <w:bottom w:val="double" w:sz="6" w:space="0" w:color="FF6600"/>
              <w:right w:val="double" w:sz="6" w:space="0" w:color="FFFFFF"/>
            </w:tcBorders>
            <w:shd w:val="clear" w:color="auto" w:fill="FF6600"/>
            <w:textDirection w:val="btLr"/>
            <w:vAlign w:val="center"/>
          </w:tcPr>
          <w:p w14:paraId="00A82CDB" w14:textId="77777777" w:rsidR="00FA65F8" w:rsidRPr="003C798E" w:rsidRDefault="00FA65F8" w:rsidP="00FC6081">
            <w:pPr>
              <w:jc w:val="center"/>
              <w:rPr>
                <w:rFonts w:eastAsia="Times New Roman" w:cs="Arial"/>
                <w:b/>
                <w:bCs/>
                <w:color w:val="FFFFFF"/>
                <w:sz w:val="20"/>
                <w:szCs w:val="20"/>
                <w:lang w:eastAsia="bg-BG"/>
              </w:rPr>
            </w:pPr>
            <w:r w:rsidRPr="003C798E">
              <w:rPr>
                <w:rFonts w:eastAsia="Times New Roman" w:cs="Arial"/>
                <w:b/>
                <w:bCs/>
                <w:color w:val="FFFFFF"/>
                <w:sz w:val="20"/>
                <w:szCs w:val="20"/>
                <w:lang w:eastAsia="bg-BG"/>
              </w:rPr>
              <w:t>Технологичен риск</w:t>
            </w:r>
          </w:p>
        </w:tc>
        <w:tc>
          <w:tcPr>
            <w:tcW w:w="500" w:type="dxa"/>
            <w:tcBorders>
              <w:top w:val="double" w:sz="6" w:space="0" w:color="FF6600"/>
              <w:left w:val="nil"/>
              <w:bottom w:val="double" w:sz="6" w:space="0" w:color="FF6600"/>
              <w:right w:val="double" w:sz="6" w:space="0" w:color="FFFFFF"/>
            </w:tcBorders>
            <w:shd w:val="clear" w:color="auto" w:fill="FF6600"/>
            <w:textDirection w:val="btLr"/>
            <w:vAlign w:val="center"/>
          </w:tcPr>
          <w:p w14:paraId="4ECD7977" w14:textId="77777777" w:rsidR="00FA65F8" w:rsidRPr="003C798E" w:rsidRDefault="00FA65F8" w:rsidP="00FC6081">
            <w:pPr>
              <w:jc w:val="center"/>
              <w:rPr>
                <w:rFonts w:eastAsia="Times New Roman" w:cs="Arial"/>
                <w:b/>
                <w:bCs/>
                <w:color w:val="FFFFFF"/>
                <w:sz w:val="20"/>
                <w:szCs w:val="20"/>
                <w:lang w:eastAsia="bg-BG"/>
              </w:rPr>
            </w:pPr>
            <w:r w:rsidRPr="003C798E">
              <w:rPr>
                <w:rFonts w:eastAsia="Times New Roman" w:cs="Arial"/>
                <w:b/>
                <w:bCs/>
                <w:color w:val="FFFFFF"/>
                <w:sz w:val="20"/>
                <w:szCs w:val="20"/>
                <w:lang w:eastAsia="bg-BG"/>
              </w:rPr>
              <w:t>Фирмен риск</w:t>
            </w:r>
          </w:p>
        </w:tc>
        <w:tc>
          <w:tcPr>
            <w:tcW w:w="500" w:type="dxa"/>
            <w:tcBorders>
              <w:top w:val="double" w:sz="6" w:space="0" w:color="FF6600"/>
              <w:left w:val="nil"/>
              <w:bottom w:val="double" w:sz="6" w:space="0" w:color="FF6600"/>
              <w:right w:val="double" w:sz="6" w:space="0" w:color="FFFFFF"/>
            </w:tcBorders>
            <w:shd w:val="clear" w:color="auto" w:fill="FF6600"/>
            <w:textDirection w:val="btLr"/>
            <w:vAlign w:val="center"/>
          </w:tcPr>
          <w:p w14:paraId="3BB9B501" w14:textId="77777777" w:rsidR="00FA65F8" w:rsidRPr="003C798E" w:rsidRDefault="00FA65F8" w:rsidP="00FC6081">
            <w:pPr>
              <w:jc w:val="center"/>
              <w:rPr>
                <w:rFonts w:eastAsia="Times New Roman" w:cs="Arial"/>
                <w:b/>
                <w:bCs/>
                <w:color w:val="FFFFFF"/>
                <w:sz w:val="20"/>
                <w:szCs w:val="20"/>
                <w:lang w:eastAsia="bg-BG"/>
              </w:rPr>
            </w:pPr>
            <w:r w:rsidRPr="003C798E">
              <w:rPr>
                <w:rFonts w:eastAsia="Times New Roman" w:cs="Arial"/>
                <w:b/>
                <w:bCs/>
                <w:color w:val="FFFFFF"/>
                <w:sz w:val="20"/>
                <w:szCs w:val="20"/>
                <w:lang w:eastAsia="bg-BG"/>
              </w:rPr>
              <w:t>Финансов риск</w:t>
            </w:r>
          </w:p>
        </w:tc>
        <w:tc>
          <w:tcPr>
            <w:tcW w:w="500" w:type="dxa"/>
            <w:tcBorders>
              <w:top w:val="double" w:sz="6" w:space="0" w:color="FF6600"/>
              <w:left w:val="nil"/>
              <w:bottom w:val="double" w:sz="6" w:space="0" w:color="FF6600"/>
              <w:right w:val="double" w:sz="6" w:space="0" w:color="FFFFFF"/>
            </w:tcBorders>
            <w:shd w:val="clear" w:color="auto" w:fill="FF6600"/>
            <w:textDirection w:val="btLr"/>
            <w:vAlign w:val="center"/>
          </w:tcPr>
          <w:p w14:paraId="5E61C672" w14:textId="77777777" w:rsidR="00FA65F8" w:rsidRPr="003C798E" w:rsidRDefault="00FA65F8" w:rsidP="00FC6081">
            <w:pPr>
              <w:jc w:val="center"/>
              <w:rPr>
                <w:rFonts w:eastAsia="Times New Roman" w:cs="Arial"/>
                <w:b/>
                <w:bCs/>
                <w:color w:val="FFFFFF"/>
                <w:sz w:val="20"/>
                <w:szCs w:val="20"/>
                <w:lang w:eastAsia="bg-BG"/>
              </w:rPr>
            </w:pPr>
            <w:r w:rsidRPr="003C798E">
              <w:rPr>
                <w:rFonts w:eastAsia="Times New Roman" w:cs="Arial"/>
                <w:b/>
                <w:bCs/>
                <w:color w:val="FFFFFF"/>
                <w:sz w:val="20"/>
                <w:szCs w:val="20"/>
                <w:lang w:eastAsia="bg-BG"/>
              </w:rPr>
              <w:t>Ликвиден риск</w:t>
            </w:r>
          </w:p>
        </w:tc>
        <w:tc>
          <w:tcPr>
            <w:tcW w:w="500" w:type="dxa"/>
            <w:tcBorders>
              <w:top w:val="double" w:sz="6" w:space="0" w:color="FF6600"/>
              <w:left w:val="nil"/>
              <w:bottom w:val="double" w:sz="6" w:space="0" w:color="FF6600"/>
              <w:right w:val="double" w:sz="6" w:space="0" w:color="FFFFFF"/>
            </w:tcBorders>
            <w:shd w:val="clear" w:color="auto" w:fill="FF6600"/>
            <w:textDirection w:val="btLr"/>
            <w:vAlign w:val="center"/>
          </w:tcPr>
          <w:p w14:paraId="6806F082" w14:textId="77777777" w:rsidR="00FA65F8" w:rsidRPr="003C798E" w:rsidRDefault="00FA65F8" w:rsidP="00FC6081">
            <w:pPr>
              <w:jc w:val="center"/>
              <w:rPr>
                <w:rFonts w:eastAsia="Times New Roman" w:cs="Arial"/>
                <w:b/>
                <w:bCs/>
                <w:color w:val="FFFFFF"/>
                <w:sz w:val="20"/>
                <w:szCs w:val="20"/>
                <w:lang w:eastAsia="bg-BG"/>
              </w:rPr>
            </w:pPr>
            <w:r w:rsidRPr="003C798E">
              <w:rPr>
                <w:rFonts w:eastAsia="Times New Roman" w:cs="Arial"/>
                <w:b/>
                <w:bCs/>
                <w:color w:val="FFFFFF"/>
                <w:sz w:val="20"/>
                <w:szCs w:val="20"/>
                <w:lang w:eastAsia="bg-BG"/>
              </w:rPr>
              <w:t>Ценови риск</w:t>
            </w:r>
          </w:p>
        </w:tc>
        <w:tc>
          <w:tcPr>
            <w:tcW w:w="500" w:type="dxa"/>
            <w:tcBorders>
              <w:top w:val="double" w:sz="6" w:space="0" w:color="FF6600"/>
              <w:left w:val="nil"/>
              <w:bottom w:val="double" w:sz="6" w:space="0" w:color="FF6600"/>
              <w:right w:val="double" w:sz="6" w:space="0" w:color="FFFFFF"/>
            </w:tcBorders>
            <w:shd w:val="clear" w:color="auto" w:fill="FF6600"/>
            <w:textDirection w:val="btLr"/>
            <w:vAlign w:val="center"/>
          </w:tcPr>
          <w:p w14:paraId="6D45970C" w14:textId="77777777" w:rsidR="00FA65F8" w:rsidRPr="003C798E" w:rsidRDefault="00FA65F8" w:rsidP="00FC6081">
            <w:pPr>
              <w:jc w:val="center"/>
              <w:rPr>
                <w:rFonts w:eastAsia="Times New Roman" w:cs="Arial"/>
                <w:b/>
                <w:bCs/>
                <w:color w:val="FFFFFF"/>
                <w:sz w:val="20"/>
                <w:szCs w:val="20"/>
                <w:lang w:eastAsia="bg-BG"/>
              </w:rPr>
            </w:pPr>
            <w:r w:rsidRPr="003C798E">
              <w:rPr>
                <w:rFonts w:eastAsia="Times New Roman" w:cs="Arial"/>
                <w:b/>
                <w:bCs/>
                <w:color w:val="FFFFFF"/>
                <w:sz w:val="20"/>
                <w:szCs w:val="20"/>
                <w:lang w:eastAsia="bg-BG"/>
              </w:rPr>
              <w:t>Риск, свързан с паричния поток</w:t>
            </w:r>
          </w:p>
        </w:tc>
        <w:tc>
          <w:tcPr>
            <w:tcW w:w="500" w:type="dxa"/>
            <w:tcBorders>
              <w:top w:val="double" w:sz="6" w:space="0" w:color="FF6600"/>
              <w:left w:val="nil"/>
              <w:bottom w:val="double" w:sz="6" w:space="0" w:color="FF6600"/>
              <w:right w:val="double" w:sz="6" w:space="0" w:color="FFFFFF"/>
            </w:tcBorders>
            <w:shd w:val="clear" w:color="auto" w:fill="FF6600"/>
            <w:textDirection w:val="btLr"/>
            <w:vAlign w:val="center"/>
          </w:tcPr>
          <w:p w14:paraId="21C08FD0" w14:textId="77777777" w:rsidR="00FA65F8" w:rsidRPr="003C798E" w:rsidRDefault="00FA65F8" w:rsidP="00FC6081">
            <w:pPr>
              <w:jc w:val="center"/>
              <w:rPr>
                <w:rFonts w:eastAsia="Times New Roman" w:cs="Arial"/>
                <w:b/>
                <w:bCs/>
                <w:color w:val="FFFFFF"/>
                <w:sz w:val="20"/>
                <w:szCs w:val="20"/>
                <w:lang w:eastAsia="bg-BG"/>
              </w:rPr>
            </w:pPr>
            <w:r w:rsidRPr="003C798E">
              <w:rPr>
                <w:rFonts w:eastAsia="Times New Roman" w:cs="Arial"/>
                <w:b/>
                <w:bCs/>
                <w:color w:val="FFFFFF"/>
                <w:sz w:val="20"/>
                <w:szCs w:val="20"/>
                <w:lang w:eastAsia="bg-BG"/>
              </w:rPr>
              <w:t>Кредитен риск</w:t>
            </w:r>
          </w:p>
        </w:tc>
        <w:tc>
          <w:tcPr>
            <w:tcW w:w="500" w:type="dxa"/>
            <w:tcBorders>
              <w:top w:val="double" w:sz="6" w:space="0" w:color="FF6600"/>
              <w:left w:val="nil"/>
              <w:bottom w:val="double" w:sz="6" w:space="0" w:color="FF6600"/>
              <w:right w:val="double" w:sz="6" w:space="0" w:color="FFFFFF"/>
            </w:tcBorders>
            <w:shd w:val="clear" w:color="auto" w:fill="FF6600"/>
            <w:textDirection w:val="btLr"/>
            <w:vAlign w:val="center"/>
          </w:tcPr>
          <w:p w14:paraId="7359DA21" w14:textId="77777777" w:rsidR="00FA65F8" w:rsidRPr="003C798E" w:rsidRDefault="00FA65F8" w:rsidP="00FC6081">
            <w:pPr>
              <w:jc w:val="center"/>
              <w:rPr>
                <w:rFonts w:eastAsia="Times New Roman" w:cs="Arial"/>
                <w:b/>
                <w:bCs/>
                <w:color w:val="FFFFFF"/>
                <w:sz w:val="20"/>
                <w:szCs w:val="20"/>
                <w:lang w:eastAsia="bg-BG"/>
              </w:rPr>
            </w:pPr>
            <w:r w:rsidRPr="003C798E">
              <w:rPr>
                <w:rFonts w:eastAsia="Times New Roman" w:cs="Arial"/>
                <w:b/>
                <w:bCs/>
                <w:color w:val="FFFFFF"/>
                <w:sz w:val="20"/>
                <w:szCs w:val="20"/>
                <w:lang w:eastAsia="bg-BG"/>
              </w:rPr>
              <w:t>Инвестиционен риск</w:t>
            </w:r>
          </w:p>
        </w:tc>
        <w:tc>
          <w:tcPr>
            <w:tcW w:w="520" w:type="dxa"/>
            <w:tcBorders>
              <w:top w:val="double" w:sz="6" w:space="0" w:color="FF6600"/>
              <w:left w:val="nil"/>
              <w:bottom w:val="double" w:sz="6" w:space="0" w:color="FF6600"/>
              <w:right w:val="double" w:sz="6" w:space="0" w:color="FFFFFF"/>
            </w:tcBorders>
            <w:shd w:val="clear" w:color="auto" w:fill="FF6600"/>
            <w:textDirection w:val="btLr"/>
            <w:vAlign w:val="center"/>
          </w:tcPr>
          <w:p w14:paraId="59120D56" w14:textId="77777777" w:rsidR="00FA65F8" w:rsidRPr="003C798E" w:rsidRDefault="00FA65F8" w:rsidP="00FC6081">
            <w:pPr>
              <w:jc w:val="center"/>
              <w:rPr>
                <w:rFonts w:eastAsia="Times New Roman" w:cs="Arial"/>
                <w:b/>
                <w:bCs/>
                <w:color w:val="FFFFFF"/>
                <w:sz w:val="20"/>
                <w:szCs w:val="20"/>
                <w:lang w:eastAsia="bg-BG"/>
              </w:rPr>
            </w:pPr>
            <w:r w:rsidRPr="003C798E">
              <w:rPr>
                <w:rFonts w:eastAsia="Times New Roman" w:cs="Arial"/>
                <w:b/>
                <w:bCs/>
                <w:color w:val="FFFFFF"/>
                <w:sz w:val="20"/>
                <w:szCs w:val="20"/>
                <w:lang w:eastAsia="bg-BG"/>
              </w:rPr>
              <w:t>Регулативен риск</w:t>
            </w:r>
          </w:p>
        </w:tc>
        <w:tc>
          <w:tcPr>
            <w:tcW w:w="520" w:type="dxa"/>
            <w:tcBorders>
              <w:top w:val="double" w:sz="6" w:space="0" w:color="FF6600"/>
              <w:left w:val="nil"/>
              <w:bottom w:val="double" w:sz="6" w:space="0" w:color="FF6600"/>
              <w:right w:val="double" w:sz="6" w:space="0" w:color="FFFFFF"/>
            </w:tcBorders>
            <w:shd w:val="clear" w:color="auto" w:fill="FF6600"/>
            <w:textDirection w:val="btLr"/>
            <w:vAlign w:val="center"/>
          </w:tcPr>
          <w:p w14:paraId="24968512" w14:textId="77777777" w:rsidR="00FA65F8" w:rsidRPr="003C798E" w:rsidRDefault="00FA65F8" w:rsidP="00FC6081">
            <w:pPr>
              <w:jc w:val="center"/>
              <w:rPr>
                <w:rFonts w:eastAsia="Times New Roman" w:cs="Arial"/>
                <w:b/>
                <w:bCs/>
                <w:color w:val="FFFFFF"/>
                <w:sz w:val="20"/>
                <w:szCs w:val="20"/>
                <w:lang w:eastAsia="bg-BG"/>
              </w:rPr>
            </w:pPr>
            <w:r w:rsidRPr="003C798E">
              <w:rPr>
                <w:rFonts w:eastAsia="Times New Roman" w:cs="Arial"/>
                <w:b/>
                <w:bCs/>
                <w:color w:val="FFFFFF"/>
                <w:sz w:val="20"/>
                <w:szCs w:val="20"/>
                <w:lang w:eastAsia="bg-BG"/>
              </w:rPr>
              <w:t>Рискове, свързани с проуктите и пазарите</w:t>
            </w:r>
          </w:p>
        </w:tc>
        <w:tc>
          <w:tcPr>
            <w:tcW w:w="520" w:type="dxa"/>
            <w:tcBorders>
              <w:top w:val="double" w:sz="6" w:space="0" w:color="FF6600"/>
              <w:left w:val="nil"/>
              <w:bottom w:val="double" w:sz="6" w:space="0" w:color="FF6600"/>
              <w:right w:val="double" w:sz="6" w:space="0" w:color="FF6600"/>
            </w:tcBorders>
            <w:shd w:val="clear" w:color="auto" w:fill="FF6600"/>
            <w:textDirection w:val="btLr"/>
            <w:vAlign w:val="center"/>
          </w:tcPr>
          <w:p w14:paraId="3D7BBB70" w14:textId="77777777" w:rsidR="00FA65F8" w:rsidRPr="003C798E" w:rsidRDefault="00FA65F8" w:rsidP="00FC6081">
            <w:pPr>
              <w:jc w:val="center"/>
              <w:rPr>
                <w:rFonts w:eastAsia="Times New Roman" w:cs="Arial"/>
                <w:b/>
                <w:bCs/>
                <w:color w:val="FFFFFF"/>
                <w:sz w:val="20"/>
                <w:szCs w:val="20"/>
                <w:lang w:eastAsia="bg-BG"/>
              </w:rPr>
            </w:pPr>
            <w:r w:rsidRPr="003C798E">
              <w:rPr>
                <w:rFonts w:eastAsia="Times New Roman" w:cs="Arial"/>
                <w:b/>
                <w:bCs/>
                <w:color w:val="FFFFFF"/>
                <w:sz w:val="20"/>
                <w:szCs w:val="20"/>
                <w:lang w:eastAsia="bg-BG"/>
              </w:rPr>
              <w:t>Риск, свързан с корпоративната сигурност</w:t>
            </w:r>
          </w:p>
        </w:tc>
      </w:tr>
      <w:tr w:rsidR="00FA65F8" w:rsidRPr="003C798E" w14:paraId="028012A7" w14:textId="77777777" w:rsidTr="00FC6081">
        <w:trPr>
          <w:trHeight w:val="285"/>
        </w:trPr>
        <w:tc>
          <w:tcPr>
            <w:tcW w:w="1380" w:type="dxa"/>
            <w:tcBorders>
              <w:top w:val="double" w:sz="6" w:space="0" w:color="FFFFFF"/>
              <w:left w:val="double" w:sz="6" w:space="0" w:color="FF6600"/>
              <w:bottom w:val="double" w:sz="6" w:space="0" w:color="FFFFFF"/>
              <w:right w:val="double" w:sz="6" w:space="0" w:color="FF6600"/>
            </w:tcBorders>
            <w:shd w:val="clear" w:color="auto" w:fill="FF6600"/>
          </w:tcPr>
          <w:p w14:paraId="7C4B9A8F" w14:textId="77777777" w:rsidR="00FA65F8" w:rsidRPr="003C798E" w:rsidRDefault="00FA65F8" w:rsidP="00FC6081">
            <w:pPr>
              <w:jc w:val="both"/>
              <w:rPr>
                <w:rFonts w:eastAsia="Times New Roman" w:cs="Arial"/>
                <w:b/>
                <w:bCs/>
                <w:color w:val="FFFFFF"/>
                <w:sz w:val="18"/>
                <w:szCs w:val="18"/>
                <w:lang w:eastAsia="bg-BG"/>
              </w:rPr>
            </w:pPr>
            <w:r w:rsidRPr="003C798E">
              <w:rPr>
                <w:rFonts w:eastAsia="Times New Roman" w:cs="Arial"/>
                <w:b/>
                <w:bCs/>
                <w:color w:val="FFFFFF"/>
                <w:sz w:val="18"/>
                <w:szCs w:val="18"/>
                <w:lang w:eastAsia="bg-BG"/>
              </w:rPr>
              <w:t>Много Висок</w:t>
            </w:r>
          </w:p>
        </w:tc>
        <w:tc>
          <w:tcPr>
            <w:tcW w:w="500" w:type="dxa"/>
            <w:tcBorders>
              <w:top w:val="nil"/>
              <w:left w:val="nil"/>
              <w:bottom w:val="double" w:sz="6" w:space="0" w:color="FF6600"/>
              <w:right w:val="double" w:sz="6" w:space="0" w:color="FF6600"/>
            </w:tcBorders>
            <w:shd w:val="clear" w:color="auto" w:fill="auto"/>
          </w:tcPr>
          <w:p w14:paraId="7B756AA3" w14:textId="77777777" w:rsidR="00FA65F8" w:rsidRPr="00B27848" w:rsidRDefault="00FA65F8" w:rsidP="00FC6081">
            <w:pPr>
              <w:jc w:val="both"/>
              <w:rPr>
                <w:rFonts w:cs="Arial"/>
                <w:color w:val="FF0000"/>
                <w:sz w:val="14"/>
                <w:szCs w:val="14"/>
              </w:rPr>
            </w:pPr>
            <w:r w:rsidRPr="00B27848">
              <w:rPr>
                <w:rFonts w:cs="Arial"/>
                <w:color w:val="FF0000"/>
                <w:sz w:val="14"/>
                <w:szCs w:val="14"/>
              </w:rPr>
              <w:t> </w:t>
            </w:r>
          </w:p>
        </w:tc>
        <w:tc>
          <w:tcPr>
            <w:tcW w:w="500" w:type="dxa"/>
            <w:tcBorders>
              <w:top w:val="nil"/>
              <w:left w:val="nil"/>
              <w:bottom w:val="double" w:sz="6" w:space="0" w:color="FF6600"/>
              <w:right w:val="double" w:sz="6" w:space="0" w:color="FF6600"/>
            </w:tcBorders>
            <w:shd w:val="clear" w:color="auto" w:fill="auto"/>
          </w:tcPr>
          <w:p w14:paraId="6288F7CF" w14:textId="77777777" w:rsidR="00FA65F8" w:rsidRDefault="00FA65F8" w:rsidP="00FC6081">
            <w:pPr>
              <w:jc w:val="both"/>
              <w:rPr>
                <w:rFonts w:cs="Arial"/>
                <w:sz w:val="14"/>
                <w:szCs w:val="14"/>
              </w:rPr>
            </w:pPr>
            <w:r>
              <w:rPr>
                <w:rFonts w:cs="Arial"/>
                <w:sz w:val="14"/>
                <w:szCs w:val="14"/>
              </w:rPr>
              <w:t> </w:t>
            </w:r>
          </w:p>
        </w:tc>
        <w:tc>
          <w:tcPr>
            <w:tcW w:w="500" w:type="dxa"/>
            <w:tcBorders>
              <w:top w:val="nil"/>
              <w:left w:val="nil"/>
              <w:bottom w:val="double" w:sz="6" w:space="0" w:color="FF6600"/>
              <w:right w:val="double" w:sz="6" w:space="0" w:color="FF6600"/>
            </w:tcBorders>
            <w:shd w:val="clear" w:color="auto" w:fill="auto"/>
          </w:tcPr>
          <w:p w14:paraId="3B979F22" w14:textId="77777777" w:rsidR="00FA65F8" w:rsidRDefault="00FA65F8" w:rsidP="00FC6081">
            <w:pPr>
              <w:jc w:val="both"/>
              <w:rPr>
                <w:rFonts w:cs="Arial"/>
                <w:sz w:val="14"/>
                <w:szCs w:val="14"/>
              </w:rPr>
            </w:pPr>
            <w:r>
              <w:rPr>
                <w:rFonts w:cs="Arial"/>
                <w:sz w:val="14"/>
                <w:szCs w:val="14"/>
              </w:rPr>
              <w:t> </w:t>
            </w:r>
          </w:p>
        </w:tc>
        <w:tc>
          <w:tcPr>
            <w:tcW w:w="500" w:type="dxa"/>
            <w:tcBorders>
              <w:top w:val="nil"/>
              <w:left w:val="nil"/>
              <w:bottom w:val="double" w:sz="6" w:space="0" w:color="FF6600"/>
              <w:right w:val="double" w:sz="6" w:space="0" w:color="FF6600"/>
            </w:tcBorders>
            <w:shd w:val="clear" w:color="auto" w:fill="auto"/>
          </w:tcPr>
          <w:p w14:paraId="42C0BA83" w14:textId="77777777" w:rsidR="00FA65F8" w:rsidRDefault="00FA65F8" w:rsidP="00FC6081">
            <w:pPr>
              <w:jc w:val="both"/>
              <w:rPr>
                <w:rFonts w:cs="Arial"/>
                <w:sz w:val="14"/>
                <w:szCs w:val="14"/>
              </w:rPr>
            </w:pPr>
            <w:r>
              <w:rPr>
                <w:rFonts w:cs="Arial"/>
                <w:sz w:val="14"/>
                <w:szCs w:val="14"/>
              </w:rPr>
              <w:t> </w:t>
            </w:r>
          </w:p>
        </w:tc>
        <w:tc>
          <w:tcPr>
            <w:tcW w:w="580" w:type="dxa"/>
            <w:tcBorders>
              <w:top w:val="nil"/>
              <w:left w:val="nil"/>
              <w:bottom w:val="double" w:sz="6" w:space="0" w:color="FF6600"/>
              <w:right w:val="double" w:sz="6" w:space="0" w:color="FF6600"/>
            </w:tcBorders>
            <w:shd w:val="clear" w:color="auto" w:fill="FF0000"/>
          </w:tcPr>
          <w:p w14:paraId="76C0014A" w14:textId="77777777" w:rsidR="00FA65F8" w:rsidRDefault="00FA65F8" w:rsidP="00FC6081">
            <w:pPr>
              <w:jc w:val="both"/>
              <w:rPr>
                <w:rFonts w:cs="Arial"/>
                <w:sz w:val="14"/>
                <w:szCs w:val="14"/>
              </w:rPr>
            </w:pPr>
            <w:r>
              <w:rPr>
                <w:rFonts w:cs="Arial"/>
                <w:sz w:val="14"/>
                <w:szCs w:val="14"/>
              </w:rPr>
              <w:t> </w:t>
            </w:r>
          </w:p>
        </w:tc>
        <w:tc>
          <w:tcPr>
            <w:tcW w:w="500" w:type="dxa"/>
            <w:tcBorders>
              <w:top w:val="nil"/>
              <w:left w:val="nil"/>
              <w:bottom w:val="double" w:sz="6" w:space="0" w:color="FF6600"/>
              <w:right w:val="double" w:sz="6" w:space="0" w:color="FF6600"/>
            </w:tcBorders>
            <w:shd w:val="clear" w:color="auto" w:fill="auto"/>
          </w:tcPr>
          <w:p w14:paraId="3EFE5B95" w14:textId="77777777" w:rsidR="00FA65F8" w:rsidRDefault="00FA65F8" w:rsidP="00FC6081">
            <w:pPr>
              <w:jc w:val="both"/>
              <w:rPr>
                <w:rFonts w:cs="Arial"/>
                <w:sz w:val="14"/>
                <w:szCs w:val="14"/>
              </w:rPr>
            </w:pPr>
            <w:r>
              <w:rPr>
                <w:rFonts w:cs="Arial"/>
                <w:sz w:val="14"/>
                <w:szCs w:val="14"/>
              </w:rPr>
              <w:t> </w:t>
            </w:r>
          </w:p>
        </w:tc>
        <w:tc>
          <w:tcPr>
            <w:tcW w:w="500" w:type="dxa"/>
            <w:tcBorders>
              <w:top w:val="nil"/>
              <w:left w:val="nil"/>
              <w:bottom w:val="double" w:sz="6" w:space="0" w:color="FF6600"/>
              <w:right w:val="double" w:sz="6" w:space="0" w:color="FF6600"/>
            </w:tcBorders>
            <w:shd w:val="clear" w:color="auto" w:fill="auto"/>
          </w:tcPr>
          <w:p w14:paraId="3F0C4BF4" w14:textId="77777777" w:rsidR="00FA65F8" w:rsidRDefault="00FA65F8" w:rsidP="00FC6081">
            <w:pPr>
              <w:jc w:val="both"/>
              <w:rPr>
                <w:rFonts w:cs="Arial"/>
                <w:sz w:val="14"/>
                <w:szCs w:val="14"/>
              </w:rPr>
            </w:pPr>
            <w:r>
              <w:rPr>
                <w:rFonts w:cs="Arial"/>
                <w:sz w:val="14"/>
                <w:szCs w:val="14"/>
              </w:rPr>
              <w:t> </w:t>
            </w:r>
          </w:p>
        </w:tc>
        <w:tc>
          <w:tcPr>
            <w:tcW w:w="500" w:type="dxa"/>
            <w:tcBorders>
              <w:top w:val="nil"/>
              <w:left w:val="nil"/>
              <w:bottom w:val="double" w:sz="6" w:space="0" w:color="FF6600"/>
              <w:right w:val="double" w:sz="6" w:space="0" w:color="FF6600"/>
            </w:tcBorders>
            <w:shd w:val="clear" w:color="auto" w:fill="auto"/>
          </w:tcPr>
          <w:p w14:paraId="55CAADE6" w14:textId="77777777" w:rsidR="00FA65F8" w:rsidRDefault="00FA65F8" w:rsidP="00FC6081">
            <w:pPr>
              <w:jc w:val="both"/>
              <w:rPr>
                <w:rFonts w:cs="Arial"/>
                <w:sz w:val="14"/>
                <w:szCs w:val="14"/>
              </w:rPr>
            </w:pPr>
            <w:r>
              <w:rPr>
                <w:rFonts w:cs="Arial"/>
                <w:sz w:val="14"/>
                <w:szCs w:val="14"/>
              </w:rPr>
              <w:t> </w:t>
            </w:r>
          </w:p>
        </w:tc>
        <w:tc>
          <w:tcPr>
            <w:tcW w:w="500" w:type="dxa"/>
            <w:tcBorders>
              <w:top w:val="nil"/>
              <w:left w:val="nil"/>
              <w:bottom w:val="double" w:sz="6" w:space="0" w:color="FF6600"/>
              <w:right w:val="double" w:sz="6" w:space="0" w:color="FF6600"/>
            </w:tcBorders>
            <w:shd w:val="clear" w:color="auto" w:fill="auto"/>
          </w:tcPr>
          <w:p w14:paraId="5B7E3DB9" w14:textId="77777777" w:rsidR="00FA65F8" w:rsidRDefault="00FA65F8" w:rsidP="00FC6081">
            <w:pPr>
              <w:jc w:val="both"/>
              <w:rPr>
                <w:rFonts w:cs="Arial"/>
                <w:sz w:val="14"/>
                <w:szCs w:val="14"/>
              </w:rPr>
            </w:pPr>
            <w:r>
              <w:rPr>
                <w:rFonts w:cs="Arial"/>
                <w:sz w:val="14"/>
                <w:szCs w:val="14"/>
              </w:rPr>
              <w:t> </w:t>
            </w:r>
          </w:p>
        </w:tc>
        <w:tc>
          <w:tcPr>
            <w:tcW w:w="500" w:type="dxa"/>
            <w:tcBorders>
              <w:top w:val="nil"/>
              <w:left w:val="nil"/>
              <w:bottom w:val="double" w:sz="6" w:space="0" w:color="FF6600"/>
              <w:right w:val="double" w:sz="6" w:space="0" w:color="FF6600"/>
            </w:tcBorders>
            <w:shd w:val="clear" w:color="auto" w:fill="auto"/>
          </w:tcPr>
          <w:p w14:paraId="1512D500" w14:textId="77777777" w:rsidR="00FA65F8" w:rsidRDefault="00FA65F8" w:rsidP="00FC6081">
            <w:pPr>
              <w:jc w:val="both"/>
              <w:rPr>
                <w:rFonts w:cs="Arial"/>
                <w:sz w:val="14"/>
                <w:szCs w:val="14"/>
              </w:rPr>
            </w:pPr>
            <w:r>
              <w:rPr>
                <w:rFonts w:cs="Arial"/>
                <w:sz w:val="14"/>
                <w:szCs w:val="14"/>
              </w:rPr>
              <w:t> </w:t>
            </w:r>
          </w:p>
        </w:tc>
        <w:tc>
          <w:tcPr>
            <w:tcW w:w="500" w:type="dxa"/>
            <w:tcBorders>
              <w:top w:val="nil"/>
              <w:left w:val="nil"/>
              <w:bottom w:val="double" w:sz="6" w:space="0" w:color="FF6600"/>
              <w:right w:val="double" w:sz="6" w:space="0" w:color="FF6600"/>
            </w:tcBorders>
            <w:shd w:val="clear" w:color="auto" w:fill="auto"/>
          </w:tcPr>
          <w:p w14:paraId="0E821EF8" w14:textId="77777777" w:rsidR="00FA65F8" w:rsidRDefault="00FA65F8" w:rsidP="00FC6081">
            <w:pPr>
              <w:jc w:val="both"/>
              <w:rPr>
                <w:rFonts w:cs="Arial"/>
                <w:sz w:val="14"/>
                <w:szCs w:val="14"/>
              </w:rPr>
            </w:pPr>
            <w:r>
              <w:rPr>
                <w:rFonts w:cs="Arial"/>
                <w:sz w:val="14"/>
                <w:szCs w:val="14"/>
              </w:rPr>
              <w:t> </w:t>
            </w:r>
          </w:p>
        </w:tc>
        <w:tc>
          <w:tcPr>
            <w:tcW w:w="500" w:type="dxa"/>
            <w:tcBorders>
              <w:top w:val="nil"/>
              <w:left w:val="nil"/>
              <w:bottom w:val="double" w:sz="6" w:space="0" w:color="FF6600"/>
              <w:right w:val="double" w:sz="6" w:space="0" w:color="FF6600"/>
            </w:tcBorders>
            <w:shd w:val="clear" w:color="auto" w:fill="auto"/>
          </w:tcPr>
          <w:p w14:paraId="30EACBE3" w14:textId="77777777" w:rsidR="00FA65F8" w:rsidRDefault="00FA65F8" w:rsidP="00FC6081">
            <w:pPr>
              <w:jc w:val="both"/>
              <w:rPr>
                <w:rFonts w:cs="Arial"/>
                <w:sz w:val="14"/>
                <w:szCs w:val="14"/>
              </w:rPr>
            </w:pPr>
            <w:r>
              <w:rPr>
                <w:rFonts w:cs="Arial"/>
                <w:sz w:val="14"/>
                <w:szCs w:val="14"/>
              </w:rPr>
              <w:t> </w:t>
            </w:r>
          </w:p>
        </w:tc>
        <w:tc>
          <w:tcPr>
            <w:tcW w:w="500" w:type="dxa"/>
            <w:tcBorders>
              <w:top w:val="nil"/>
              <w:left w:val="nil"/>
              <w:bottom w:val="double" w:sz="6" w:space="0" w:color="FF6600"/>
              <w:right w:val="double" w:sz="6" w:space="0" w:color="FF6600"/>
            </w:tcBorders>
            <w:shd w:val="clear" w:color="auto" w:fill="auto"/>
          </w:tcPr>
          <w:p w14:paraId="3A9C9B5B" w14:textId="77777777" w:rsidR="00FA65F8" w:rsidRDefault="00FA65F8" w:rsidP="00FC6081">
            <w:pPr>
              <w:jc w:val="both"/>
              <w:rPr>
                <w:rFonts w:cs="Arial"/>
                <w:sz w:val="14"/>
                <w:szCs w:val="14"/>
              </w:rPr>
            </w:pPr>
            <w:r>
              <w:rPr>
                <w:rFonts w:cs="Arial"/>
                <w:sz w:val="14"/>
                <w:szCs w:val="14"/>
              </w:rPr>
              <w:t> </w:t>
            </w:r>
          </w:p>
        </w:tc>
        <w:tc>
          <w:tcPr>
            <w:tcW w:w="500" w:type="dxa"/>
            <w:tcBorders>
              <w:top w:val="nil"/>
              <w:left w:val="nil"/>
              <w:bottom w:val="double" w:sz="6" w:space="0" w:color="FF6600"/>
              <w:right w:val="double" w:sz="6" w:space="0" w:color="FF6600"/>
            </w:tcBorders>
            <w:shd w:val="clear" w:color="auto" w:fill="auto"/>
          </w:tcPr>
          <w:p w14:paraId="2500CE5F" w14:textId="77777777" w:rsidR="00FA65F8" w:rsidRDefault="00FA65F8" w:rsidP="00FC6081">
            <w:pPr>
              <w:jc w:val="both"/>
              <w:rPr>
                <w:rFonts w:cs="Arial"/>
                <w:sz w:val="14"/>
                <w:szCs w:val="14"/>
              </w:rPr>
            </w:pPr>
            <w:r>
              <w:rPr>
                <w:rFonts w:cs="Arial"/>
                <w:sz w:val="14"/>
                <w:szCs w:val="14"/>
              </w:rPr>
              <w:t> </w:t>
            </w:r>
          </w:p>
        </w:tc>
        <w:tc>
          <w:tcPr>
            <w:tcW w:w="520" w:type="dxa"/>
            <w:tcBorders>
              <w:top w:val="nil"/>
              <w:left w:val="nil"/>
              <w:bottom w:val="double" w:sz="6" w:space="0" w:color="FF6600"/>
              <w:right w:val="double" w:sz="6" w:space="0" w:color="FF6600"/>
            </w:tcBorders>
            <w:shd w:val="clear" w:color="auto" w:fill="auto"/>
          </w:tcPr>
          <w:p w14:paraId="2AF9E3F6" w14:textId="77777777" w:rsidR="00FA65F8" w:rsidRDefault="00FA65F8" w:rsidP="00FC6081">
            <w:pPr>
              <w:jc w:val="both"/>
              <w:rPr>
                <w:rFonts w:cs="Arial"/>
                <w:sz w:val="14"/>
                <w:szCs w:val="14"/>
              </w:rPr>
            </w:pPr>
            <w:r>
              <w:rPr>
                <w:rFonts w:cs="Arial"/>
                <w:sz w:val="14"/>
                <w:szCs w:val="14"/>
              </w:rPr>
              <w:t> </w:t>
            </w:r>
          </w:p>
        </w:tc>
        <w:tc>
          <w:tcPr>
            <w:tcW w:w="520" w:type="dxa"/>
            <w:tcBorders>
              <w:top w:val="nil"/>
              <w:left w:val="nil"/>
              <w:bottom w:val="double" w:sz="6" w:space="0" w:color="FF6600"/>
              <w:right w:val="double" w:sz="6" w:space="0" w:color="FF6600"/>
            </w:tcBorders>
            <w:shd w:val="clear" w:color="auto" w:fill="auto"/>
          </w:tcPr>
          <w:p w14:paraId="4FAB18DA" w14:textId="77777777" w:rsidR="00FA65F8" w:rsidRDefault="00FA65F8" w:rsidP="00FC6081">
            <w:pPr>
              <w:jc w:val="both"/>
              <w:rPr>
                <w:rFonts w:cs="Arial"/>
                <w:sz w:val="14"/>
                <w:szCs w:val="14"/>
              </w:rPr>
            </w:pPr>
            <w:r>
              <w:rPr>
                <w:rFonts w:cs="Arial"/>
                <w:sz w:val="14"/>
                <w:szCs w:val="14"/>
              </w:rPr>
              <w:t> </w:t>
            </w:r>
          </w:p>
        </w:tc>
        <w:tc>
          <w:tcPr>
            <w:tcW w:w="520" w:type="dxa"/>
            <w:tcBorders>
              <w:top w:val="nil"/>
              <w:left w:val="nil"/>
              <w:bottom w:val="double" w:sz="6" w:space="0" w:color="FF6600"/>
              <w:right w:val="double" w:sz="6" w:space="0" w:color="FF6600"/>
            </w:tcBorders>
            <w:shd w:val="clear" w:color="auto" w:fill="auto"/>
          </w:tcPr>
          <w:p w14:paraId="71E53DC8" w14:textId="77777777" w:rsidR="00FA65F8" w:rsidRDefault="00FA65F8" w:rsidP="00FC6081">
            <w:pPr>
              <w:jc w:val="both"/>
              <w:rPr>
                <w:rFonts w:cs="Arial"/>
                <w:sz w:val="14"/>
                <w:szCs w:val="14"/>
              </w:rPr>
            </w:pPr>
            <w:r>
              <w:rPr>
                <w:rFonts w:cs="Arial"/>
                <w:sz w:val="14"/>
                <w:szCs w:val="14"/>
              </w:rPr>
              <w:t> </w:t>
            </w:r>
          </w:p>
        </w:tc>
      </w:tr>
      <w:tr w:rsidR="00FA65F8" w:rsidRPr="003C798E" w14:paraId="42D3FEE7" w14:textId="77777777" w:rsidTr="00FC6081">
        <w:trPr>
          <w:trHeight w:val="285"/>
        </w:trPr>
        <w:tc>
          <w:tcPr>
            <w:tcW w:w="1380" w:type="dxa"/>
            <w:tcBorders>
              <w:top w:val="nil"/>
              <w:left w:val="double" w:sz="6" w:space="0" w:color="FF6600"/>
              <w:bottom w:val="double" w:sz="6" w:space="0" w:color="FFFFFF"/>
              <w:right w:val="double" w:sz="6" w:space="0" w:color="FF6600"/>
            </w:tcBorders>
            <w:shd w:val="clear" w:color="auto" w:fill="FF6600"/>
          </w:tcPr>
          <w:p w14:paraId="065840DA" w14:textId="77777777" w:rsidR="00FA65F8" w:rsidRPr="003C798E" w:rsidRDefault="00FA65F8" w:rsidP="00FC6081">
            <w:pPr>
              <w:jc w:val="both"/>
              <w:rPr>
                <w:rFonts w:eastAsia="Times New Roman" w:cs="Arial"/>
                <w:b/>
                <w:bCs/>
                <w:color w:val="FFFFFF"/>
                <w:sz w:val="18"/>
                <w:szCs w:val="18"/>
                <w:lang w:eastAsia="bg-BG"/>
              </w:rPr>
            </w:pPr>
            <w:r w:rsidRPr="003C798E">
              <w:rPr>
                <w:rFonts w:eastAsia="Times New Roman" w:cs="Arial"/>
                <w:b/>
                <w:bCs/>
                <w:color w:val="FFFFFF"/>
                <w:sz w:val="18"/>
                <w:szCs w:val="18"/>
                <w:lang w:eastAsia="bg-BG"/>
              </w:rPr>
              <w:t>Висок</w:t>
            </w:r>
          </w:p>
        </w:tc>
        <w:tc>
          <w:tcPr>
            <w:tcW w:w="500" w:type="dxa"/>
            <w:tcBorders>
              <w:top w:val="nil"/>
              <w:left w:val="nil"/>
              <w:bottom w:val="double" w:sz="6" w:space="0" w:color="FF6600"/>
              <w:right w:val="double" w:sz="6" w:space="0" w:color="FF6600"/>
            </w:tcBorders>
            <w:shd w:val="clear" w:color="auto" w:fill="FF0000"/>
          </w:tcPr>
          <w:p w14:paraId="02BC96CF" w14:textId="77777777" w:rsidR="00FA65F8" w:rsidRDefault="00FA65F8" w:rsidP="00FC6081">
            <w:pPr>
              <w:jc w:val="both"/>
              <w:rPr>
                <w:rFonts w:cs="Arial"/>
                <w:color w:val="FF0000"/>
                <w:sz w:val="14"/>
                <w:szCs w:val="14"/>
              </w:rPr>
            </w:pPr>
            <w:r>
              <w:rPr>
                <w:rFonts w:cs="Arial"/>
                <w:color w:val="FF0000"/>
                <w:sz w:val="14"/>
                <w:szCs w:val="14"/>
              </w:rPr>
              <w:t> </w:t>
            </w:r>
          </w:p>
        </w:tc>
        <w:tc>
          <w:tcPr>
            <w:tcW w:w="500" w:type="dxa"/>
            <w:tcBorders>
              <w:top w:val="nil"/>
              <w:left w:val="nil"/>
              <w:bottom w:val="double" w:sz="6" w:space="0" w:color="FF6600"/>
              <w:right w:val="double" w:sz="6" w:space="0" w:color="FF6600"/>
            </w:tcBorders>
            <w:shd w:val="clear" w:color="auto" w:fill="FF0000"/>
          </w:tcPr>
          <w:p w14:paraId="17F242BB" w14:textId="77777777" w:rsidR="00FA65F8" w:rsidRDefault="00FA65F8" w:rsidP="00FC6081">
            <w:r w:rsidRPr="00D751FF">
              <w:rPr>
                <w:rFonts w:cs="Arial"/>
                <w:color w:val="FF0000"/>
                <w:sz w:val="14"/>
                <w:szCs w:val="14"/>
              </w:rPr>
              <w:t> </w:t>
            </w:r>
          </w:p>
        </w:tc>
        <w:tc>
          <w:tcPr>
            <w:tcW w:w="500" w:type="dxa"/>
            <w:tcBorders>
              <w:top w:val="nil"/>
              <w:left w:val="nil"/>
              <w:bottom w:val="double" w:sz="6" w:space="0" w:color="FF6600"/>
              <w:right w:val="double" w:sz="6" w:space="0" w:color="FF6600"/>
            </w:tcBorders>
            <w:shd w:val="clear" w:color="auto" w:fill="FF0000"/>
          </w:tcPr>
          <w:p w14:paraId="43F6CBB7" w14:textId="77777777" w:rsidR="00FA65F8" w:rsidRDefault="00FA65F8" w:rsidP="00FC6081">
            <w:r w:rsidRPr="00D751FF">
              <w:rPr>
                <w:rFonts w:cs="Arial"/>
                <w:color w:val="FF0000"/>
                <w:sz w:val="14"/>
                <w:szCs w:val="14"/>
              </w:rPr>
              <w:t> </w:t>
            </w:r>
          </w:p>
        </w:tc>
        <w:tc>
          <w:tcPr>
            <w:tcW w:w="500" w:type="dxa"/>
            <w:tcBorders>
              <w:top w:val="nil"/>
              <w:left w:val="nil"/>
              <w:bottom w:val="double" w:sz="6" w:space="0" w:color="FF6600"/>
              <w:right w:val="double" w:sz="6" w:space="0" w:color="FF6600"/>
            </w:tcBorders>
            <w:shd w:val="clear" w:color="auto" w:fill="auto"/>
          </w:tcPr>
          <w:p w14:paraId="6DF215DC" w14:textId="77777777" w:rsidR="00FA65F8" w:rsidRDefault="00FA65F8" w:rsidP="00FC6081">
            <w:pPr>
              <w:jc w:val="both"/>
              <w:rPr>
                <w:rFonts w:cs="Arial"/>
                <w:sz w:val="14"/>
                <w:szCs w:val="14"/>
              </w:rPr>
            </w:pPr>
            <w:r>
              <w:rPr>
                <w:rFonts w:cs="Arial"/>
                <w:sz w:val="14"/>
                <w:szCs w:val="14"/>
              </w:rPr>
              <w:t> </w:t>
            </w:r>
          </w:p>
        </w:tc>
        <w:tc>
          <w:tcPr>
            <w:tcW w:w="580" w:type="dxa"/>
            <w:tcBorders>
              <w:top w:val="nil"/>
              <w:left w:val="nil"/>
              <w:bottom w:val="double" w:sz="6" w:space="0" w:color="FF6600"/>
              <w:right w:val="double" w:sz="6" w:space="0" w:color="FF6600"/>
            </w:tcBorders>
            <w:shd w:val="clear" w:color="auto" w:fill="auto"/>
            <w:vAlign w:val="bottom"/>
          </w:tcPr>
          <w:p w14:paraId="7B3D77ED" w14:textId="77777777" w:rsidR="00FA65F8" w:rsidRDefault="00FA65F8" w:rsidP="00FC6081">
            <w:pPr>
              <w:rPr>
                <w:rFonts w:ascii="Arial" w:hAnsi="Arial" w:cs="Arial"/>
                <w:sz w:val="20"/>
                <w:szCs w:val="20"/>
              </w:rPr>
            </w:pPr>
          </w:p>
        </w:tc>
        <w:tc>
          <w:tcPr>
            <w:tcW w:w="500" w:type="dxa"/>
            <w:tcBorders>
              <w:top w:val="nil"/>
              <w:left w:val="nil"/>
              <w:bottom w:val="double" w:sz="6" w:space="0" w:color="FF6600"/>
              <w:right w:val="double" w:sz="6" w:space="0" w:color="FF6600"/>
            </w:tcBorders>
            <w:shd w:val="clear" w:color="auto" w:fill="auto"/>
          </w:tcPr>
          <w:p w14:paraId="002ECB98" w14:textId="77777777" w:rsidR="00FA65F8" w:rsidRDefault="00FA65F8" w:rsidP="00FC6081">
            <w:pPr>
              <w:jc w:val="both"/>
              <w:rPr>
                <w:rFonts w:cs="Arial"/>
                <w:sz w:val="14"/>
                <w:szCs w:val="14"/>
              </w:rPr>
            </w:pPr>
            <w:r>
              <w:rPr>
                <w:rFonts w:cs="Arial"/>
                <w:sz w:val="14"/>
                <w:szCs w:val="14"/>
              </w:rPr>
              <w:t> </w:t>
            </w:r>
          </w:p>
        </w:tc>
        <w:tc>
          <w:tcPr>
            <w:tcW w:w="500" w:type="dxa"/>
            <w:tcBorders>
              <w:top w:val="nil"/>
              <w:left w:val="nil"/>
              <w:bottom w:val="double" w:sz="6" w:space="0" w:color="FF6600"/>
              <w:right w:val="double" w:sz="6" w:space="0" w:color="FF6600"/>
            </w:tcBorders>
            <w:shd w:val="clear" w:color="auto" w:fill="FF0000"/>
          </w:tcPr>
          <w:p w14:paraId="1E452983" w14:textId="77777777" w:rsidR="00FA65F8" w:rsidRDefault="00FA65F8" w:rsidP="00FC6081">
            <w:pPr>
              <w:jc w:val="both"/>
              <w:rPr>
                <w:rFonts w:cs="Arial"/>
                <w:color w:val="FF0000"/>
                <w:sz w:val="14"/>
                <w:szCs w:val="14"/>
              </w:rPr>
            </w:pPr>
            <w:r>
              <w:rPr>
                <w:rFonts w:cs="Arial"/>
                <w:color w:val="FF0000"/>
                <w:sz w:val="14"/>
                <w:szCs w:val="14"/>
              </w:rPr>
              <w:t> </w:t>
            </w:r>
          </w:p>
        </w:tc>
        <w:tc>
          <w:tcPr>
            <w:tcW w:w="500" w:type="dxa"/>
            <w:tcBorders>
              <w:top w:val="nil"/>
              <w:left w:val="nil"/>
              <w:bottom w:val="double" w:sz="6" w:space="0" w:color="FF6600"/>
              <w:right w:val="double" w:sz="6" w:space="0" w:color="FF6600"/>
            </w:tcBorders>
            <w:shd w:val="clear" w:color="auto" w:fill="auto"/>
          </w:tcPr>
          <w:p w14:paraId="5E564F45" w14:textId="77777777" w:rsidR="00FA65F8" w:rsidRDefault="00FA65F8" w:rsidP="00FC6081">
            <w:pPr>
              <w:jc w:val="both"/>
              <w:rPr>
                <w:rFonts w:cs="Arial"/>
                <w:sz w:val="14"/>
                <w:szCs w:val="14"/>
              </w:rPr>
            </w:pPr>
            <w:r>
              <w:rPr>
                <w:rFonts w:cs="Arial"/>
                <w:sz w:val="14"/>
                <w:szCs w:val="14"/>
              </w:rPr>
              <w:t> </w:t>
            </w:r>
          </w:p>
        </w:tc>
        <w:tc>
          <w:tcPr>
            <w:tcW w:w="500" w:type="dxa"/>
            <w:tcBorders>
              <w:top w:val="nil"/>
              <w:left w:val="nil"/>
              <w:bottom w:val="double" w:sz="6" w:space="0" w:color="FF6600"/>
              <w:right w:val="double" w:sz="6" w:space="0" w:color="FF6600"/>
            </w:tcBorders>
            <w:shd w:val="clear" w:color="auto" w:fill="auto"/>
          </w:tcPr>
          <w:p w14:paraId="302BF9A3" w14:textId="77777777" w:rsidR="00FA65F8" w:rsidRDefault="00FA65F8" w:rsidP="00FC6081">
            <w:pPr>
              <w:jc w:val="both"/>
              <w:rPr>
                <w:rFonts w:cs="Arial"/>
                <w:sz w:val="14"/>
                <w:szCs w:val="14"/>
              </w:rPr>
            </w:pPr>
            <w:r>
              <w:rPr>
                <w:rFonts w:cs="Arial"/>
                <w:sz w:val="14"/>
                <w:szCs w:val="14"/>
              </w:rPr>
              <w:t> </w:t>
            </w:r>
          </w:p>
        </w:tc>
        <w:tc>
          <w:tcPr>
            <w:tcW w:w="500" w:type="dxa"/>
            <w:tcBorders>
              <w:top w:val="nil"/>
              <w:left w:val="nil"/>
              <w:bottom w:val="double" w:sz="6" w:space="0" w:color="FF6600"/>
              <w:right w:val="double" w:sz="6" w:space="0" w:color="FF6600"/>
            </w:tcBorders>
            <w:shd w:val="clear" w:color="auto" w:fill="auto"/>
          </w:tcPr>
          <w:p w14:paraId="2214A773" w14:textId="77777777" w:rsidR="00FA65F8" w:rsidRDefault="00FA65F8" w:rsidP="00FC6081">
            <w:pPr>
              <w:jc w:val="both"/>
              <w:rPr>
                <w:rFonts w:cs="Arial"/>
                <w:sz w:val="14"/>
                <w:szCs w:val="14"/>
              </w:rPr>
            </w:pPr>
            <w:r>
              <w:rPr>
                <w:rFonts w:cs="Arial"/>
                <w:sz w:val="14"/>
                <w:szCs w:val="14"/>
              </w:rPr>
              <w:t> </w:t>
            </w:r>
          </w:p>
        </w:tc>
        <w:tc>
          <w:tcPr>
            <w:tcW w:w="500" w:type="dxa"/>
            <w:tcBorders>
              <w:top w:val="nil"/>
              <w:left w:val="nil"/>
              <w:bottom w:val="double" w:sz="6" w:space="0" w:color="FF6600"/>
              <w:right w:val="double" w:sz="6" w:space="0" w:color="FF6600"/>
            </w:tcBorders>
            <w:shd w:val="clear" w:color="auto" w:fill="FF0000"/>
          </w:tcPr>
          <w:p w14:paraId="0D68BA53" w14:textId="77777777" w:rsidR="00FA65F8" w:rsidRDefault="00FA65F8" w:rsidP="00FC6081">
            <w:pPr>
              <w:jc w:val="both"/>
              <w:rPr>
                <w:rFonts w:cs="Arial"/>
                <w:sz w:val="14"/>
                <w:szCs w:val="14"/>
              </w:rPr>
            </w:pPr>
            <w:r>
              <w:rPr>
                <w:rFonts w:cs="Arial"/>
                <w:sz w:val="14"/>
                <w:szCs w:val="14"/>
              </w:rPr>
              <w:t> </w:t>
            </w:r>
          </w:p>
        </w:tc>
        <w:tc>
          <w:tcPr>
            <w:tcW w:w="500" w:type="dxa"/>
            <w:tcBorders>
              <w:top w:val="nil"/>
              <w:left w:val="nil"/>
              <w:bottom w:val="double" w:sz="6" w:space="0" w:color="FF6600"/>
              <w:right w:val="double" w:sz="6" w:space="0" w:color="FF6600"/>
            </w:tcBorders>
            <w:shd w:val="clear" w:color="auto" w:fill="FF0000"/>
          </w:tcPr>
          <w:p w14:paraId="05C0C9F0" w14:textId="77777777" w:rsidR="00FA65F8" w:rsidRDefault="00FA65F8" w:rsidP="00FC6081">
            <w:pPr>
              <w:jc w:val="both"/>
              <w:rPr>
                <w:rFonts w:cs="Arial"/>
                <w:sz w:val="14"/>
                <w:szCs w:val="14"/>
              </w:rPr>
            </w:pPr>
            <w:r>
              <w:rPr>
                <w:rFonts w:cs="Arial"/>
                <w:sz w:val="14"/>
                <w:szCs w:val="14"/>
              </w:rPr>
              <w:t> </w:t>
            </w:r>
          </w:p>
        </w:tc>
        <w:tc>
          <w:tcPr>
            <w:tcW w:w="500" w:type="dxa"/>
            <w:tcBorders>
              <w:top w:val="nil"/>
              <w:left w:val="nil"/>
              <w:bottom w:val="double" w:sz="6" w:space="0" w:color="FF6600"/>
              <w:right w:val="double" w:sz="6" w:space="0" w:color="FF6600"/>
            </w:tcBorders>
            <w:shd w:val="clear" w:color="auto" w:fill="auto"/>
          </w:tcPr>
          <w:p w14:paraId="500FB01D" w14:textId="77777777" w:rsidR="00FA65F8" w:rsidRDefault="00FA65F8" w:rsidP="00FC6081">
            <w:pPr>
              <w:jc w:val="both"/>
              <w:rPr>
                <w:rFonts w:cs="Arial"/>
                <w:sz w:val="14"/>
                <w:szCs w:val="14"/>
              </w:rPr>
            </w:pPr>
            <w:r>
              <w:rPr>
                <w:rFonts w:cs="Arial"/>
                <w:sz w:val="14"/>
                <w:szCs w:val="14"/>
              </w:rPr>
              <w:t> </w:t>
            </w:r>
          </w:p>
        </w:tc>
        <w:tc>
          <w:tcPr>
            <w:tcW w:w="500" w:type="dxa"/>
            <w:tcBorders>
              <w:top w:val="nil"/>
              <w:left w:val="nil"/>
              <w:bottom w:val="double" w:sz="6" w:space="0" w:color="FF6600"/>
              <w:right w:val="double" w:sz="6" w:space="0" w:color="FF6600"/>
            </w:tcBorders>
            <w:shd w:val="clear" w:color="auto" w:fill="auto"/>
          </w:tcPr>
          <w:p w14:paraId="04E41DA8" w14:textId="77777777" w:rsidR="00FA65F8" w:rsidRDefault="00FA65F8" w:rsidP="00FC6081">
            <w:pPr>
              <w:jc w:val="both"/>
              <w:rPr>
                <w:rFonts w:cs="Arial"/>
                <w:sz w:val="14"/>
                <w:szCs w:val="14"/>
              </w:rPr>
            </w:pPr>
            <w:r>
              <w:rPr>
                <w:rFonts w:cs="Arial"/>
                <w:sz w:val="14"/>
                <w:szCs w:val="14"/>
              </w:rPr>
              <w:t> </w:t>
            </w:r>
          </w:p>
        </w:tc>
        <w:tc>
          <w:tcPr>
            <w:tcW w:w="520" w:type="dxa"/>
            <w:tcBorders>
              <w:top w:val="nil"/>
              <w:left w:val="nil"/>
              <w:bottom w:val="double" w:sz="6" w:space="0" w:color="FF6600"/>
              <w:right w:val="double" w:sz="6" w:space="0" w:color="FF6600"/>
            </w:tcBorders>
            <w:shd w:val="clear" w:color="auto" w:fill="auto"/>
          </w:tcPr>
          <w:p w14:paraId="3E5276B2" w14:textId="77777777" w:rsidR="00FA65F8" w:rsidRDefault="00FA65F8" w:rsidP="00FC6081">
            <w:pPr>
              <w:jc w:val="both"/>
              <w:rPr>
                <w:rFonts w:cs="Arial"/>
                <w:sz w:val="14"/>
                <w:szCs w:val="14"/>
              </w:rPr>
            </w:pPr>
            <w:r>
              <w:rPr>
                <w:rFonts w:cs="Arial"/>
                <w:sz w:val="14"/>
                <w:szCs w:val="14"/>
              </w:rPr>
              <w:t> </w:t>
            </w:r>
          </w:p>
        </w:tc>
        <w:tc>
          <w:tcPr>
            <w:tcW w:w="520" w:type="dxa"/>
            <w:tcBorders>
              <w:top w:val="nil"/>
              <w:left w:val="nil"/>
              <w:bottom w:val="double" w:sz="6" w:space="0" w:color="FF6600"/>
              <w:right w:val="double" w:sz="6" w:space="0" w:color="FF6600"/>
            </w:tcBorders>
            <w:shd w:val="clear" w:color="auto" w:fill="auto"/>
          </w:tcPr>
          <w:p w14:paraId="7CA05B22" w14:textId="77777777" w:rsidR="00FA65F8" w:rsidRDefault="00FA65F8" w:rsidP="00FC6081">
            <w:pPr>
              <w:jc w:val="both"/>
              <w:rPr>
                <w:rFonts w:cs="Arial"/>
                <w:sz w:val="14"/>
                <w:szCs w:val="14"/>
              </w:rPr>
            </w:pPr>
            <w:r>
              <w:rPr>
                <w:rFonts w:cs="Arial"/>
                <w:sz w:val="14"/>
                <w:szCs w:val="14"/>
              </w:rPr>
              <w:t> </w:t>
            </w:r>
          </w:p>
        </w:tc>
        <w:tc>
          <w:tcPr>
            <w:tcW w:w="520" w:type="dxa"/>
            <w:tcBorders>
              <w:top w:val="nil"/>
              <w:left w:val="nil"/>
              <w:bottom w:val="double" w:sz="6" w:space="0" w:color="FF6600"/>
              <w:right w:val="double" w:sz="6" w:space="0" w:color="FF6600"/>
            </w:tcBorders>
            <w:shd w:val="clear" w:color="auto" w:fill="auto"/>
          </w:tcPr>
          <w:p w14:paraId="2ED52AB4" w14:textId="77777777" w:rsidR="00FA65F8" w:rsidRDefault="00FA65F8" w:rsidP="00FC6081">
            <w:pPr>
              <w:jc w:val="both"/>
              <w:rPr>
                <w:rFonts w:cs="Arial"/>
                <w:sz w:val="14"/>
                <w:szCs w:val="14"/>
              </w:rPr>
            </w:pPr>
            <w:r>
              <w:rPr>
                <w:rFonts w:cs="Arial"/>
                <w:sz w:val="14"/>
                <w:szCs w:val="14"/>
              </w:rPr>
              <w:t> </w:t>
            </w:r>
          </w:p>
        </w:tc>
      </w:tr>
      <w:tr w:rsidR="00FA65F8" w:rsidRPr="003C798E" w14:paraId="16399284" w14:textId="77777777" w:rsidTr="00FC6081">
        <w:trPr>
          <w:trHeight w:val="285"/>
        </w:trPr>
        <w:tc>
          <w:tcPr>
            <w:tcW w:w="1380" w:type="dxa"/>
            <w:tcBorders>
              <w:top w:val="nil"/>
              <w:left w:val="double" w:sz="6" w:space="0" w:color="FF6600"/>
              <w:bottom w:val="double" w:sz="6" w:space="0" w:color="FFFFFF"/>
              <w:right w:val="double" w:sz="6" w:space="0" w:color="FF6600"/>
            </w:tcBorders>
            <w:shd w:val="clear" w:color="auto" w:fill="FF6600"/>
          </w:tcPr>
          <w:p w14:paraId="59E6B0A5" w14:textId="77777777" w:rsidR="00FA65F8" w:rsidRPr="003C798E" w:rsidRDefault="00FA65F8" w:rsidP="00FC6081">
            <w:pPr>
              <w:jc w:val="both"/>
              <w:rPr>
                <w:rFonts w:eastAsia="Times New Roman" w:cs="Arial"/>
                <w:b/>
                <w:bCs/>
                <w:color w:val="FFFFFF"/>
                <w:sz w:val="18"/>
                <w:szCs w:val="18"/>
                <w:lang w:eastAsia="bg-BG"/>
              </w:rPr>
            </w:pPr>
            <w:r w:rsidRPr="003C798E">
              <w:rPr>
                <w:rFonts w:eastAsia="Times New Roman" w:cs="Arial"/>
                <w:b/>
                <w:bCs/>
                <w:color w:val="FFFFFF"/>
                <w:sz w:val="18"/>
                <w:szCs w:val="18"/>
                <w:lang w:eastAsia="bg-BG"/>
              </w:rPr>
              <w:t>Среден</w:t>
            </w:r>
          </w:p>
        </w:tc>
        <w:tc>
          <w:tcPr>
            <w:tcW w:w="500" w:type="dxa"/>
            <w:tcBorders>
              <w:top w:val="nil"/>
              <w:left w:val="nil"/>
              <w:bottom w:val="double" w:sz="6" w:space="0" w:color="FF6600"/>
              <w:right w:val="double" w:sz="6" w:space="0" w:color="FF6600"/>
            </w:tcBorders>
            <w:shd w:val="clear" w:color="auto" w:fill="auto"/>
            <w:vAlign w:val="bottom"/>
          </w:tcPr>
          <w:p w14:paraId="021383C9" w14:textId="77777777" w:rsidR="00FA65F8" w:rsidRDefault="00FA65F8" w:rsidP="00FC6081">
            <w:pPr>
              <w:rPr>
                <w:rFonts w:ascii="Arial" w:hAnsi="Arial" w:cs="Arial"/>
                <w:sz w:val="20"/>
                <w:szCs w:val="20"/>
              </w:rPr>
            </w:pPr>
            <w:r>
              <w:rPr>
                <w:rFonts w:ascii="Arial" w:hAnsi="Arial" w:cs="Arial"/>
                <w:sz w:val="20"/>
                <w:szCs w:val="20"/>
              </w:rPr>
              <w:t> </w:t>
            </w:r>
          </w:p>
        </w:tc>
        <w:tc>
          <w:tcPr>
            <w:tcW w:w="500" w:type="dxa"/>
            <w:tcBorders>
              <w:top w:val="nil"/>
              <w:left w:val="nil"/>
              <w:bottom w:val="double" w:sz="6" w:space="0" w:color="FF6600"/>
              <w:right w:val="double" w:sz="6" w:space="0" w:color="FF6600"/>
            </w:tcBorders>
            <w:shd w:val="clear" w:color="auto" w:fill="auto"/>
            <w:vAlign w:val="bottom"/>
          </w:tcPr>
          <w:p w14:paraId="41B36154" w14:textId="77777777" w:rsidR="00FA65F8" w:rsidRDefault="00FA65F8" w:rsidP="00FC6081">
            <w:pPr>
              <w:rPr>
                <w:rFonts w:ascii="Arial" w:hAnsi="Arial" w:cs="Arial"/>
                <w:sz w:val="20"/>
                <w:szCs w:val="20"/>
              </w:rPr>
            </w:pPr>
          </w:p>
        </w:tc>
        <w:tc>
          <w:tcPr>
            <w:tcW w:w="500" w:type="dxa"/>
            <w:tcBorders>
              <w:top w:val="nil"/>
              <w:left w:val="nil"/>
              <w:bottom w:val="double" w:sz="6" w:space="0" w:color="FF6600"/>
              <w:right w:val="double" w:sz="6" w:space="0" w:color="FF6600"/>
            </w:tcBorders>
            <w:shd w:val="clear" w:color="auto" w:fill="auto"/>
            <w:vAlign w:val="bottom"/>
          </w:tcPr>
          <w:p w14:paraId="19A9ACE9" w14:textId="77777777" w:rsidR="00FA65F8" w:rsidRDefault="00FA65F8" w:rsidP="00FC6081">
            <w:pPr>
              <w:rPr>
                <w:rFonts w:ascii="Arial" w:hAnsi="Arial" w:cs="Arial"/>
                <w:sz w:val="20"/>
                <w:szCs w:val="20"/>
              </w:rPr>
            </w:pPr>
          </w:p>
        </w:tc>
        <w:tc>
          <w:tcPr>
            <w:tcW w:w="500" w:type="dxa"/>
            <w:tcBorders>
              <w:top w:val="nil"/>
              <w:left w:val="nil"/>
              <w:bottom w:val="double" w:sz="6" w:space="0" w:color="FF6600"/>
              <w:right w:val="double" w:sz="6" w:space="0" w:color="FF6600"/>
            </w:tcBorders>
            <w:shd w:val="clear" w:color="auto" w:fill="FF0000"/>
          </w:tcPr>
          <w:p w14:paraId="1D5B2583" w14:textId="77777777" w:rsidR="00FA65F8" w:rsidRDefault="00FA65F8" w:rsidP="00FC6081">
            <w:pPr>
              <w:jc w:val="both"/>
              <w:rPr>
                <w:rFonts w:cs="Arial"/>
                <w:sz w:val="14"/>
                <w:szCs w:val="14"/>
              </w:rPr>
            </w:pPr>
            <w:r>
              <w:rPr>
                <w:rFonts w:cs="Arial"/>
                <w:sz w:val="14"/>
                <w:szCs w:val="14"/>
              </w:rPr>
              <w:t> </w:t>
            </w:r>
          </w:p>
        </w:tc>
        <w:tc>
          <w:tcPr>
            <w:tcW w:w="580" w:type="dxa"/>
            <w:tcBorders>
              <w:top w:val="nil"/>
              <w:left w:val="nil"/>
              <w:bottom w:val="double" w:sz="6" w:space="0" w:color="FF6600"/>
              <w:right w:val="double" w:sz="6" w:space="0" w:color="FF6600"/>
            </w:tcBorders>
            <w:shd w:val="clear" w:color="auto" w:fill="auto"/>
            <w:vAlign w:val="bottom"/>
          </w:tcPr>
          <w:p w14:paraId="4CBAD547" w14:textId="77777777" w:rsidR="00FA65F8" w:rsidRDefault="00FA65F8" w:rsidP="00FC6081">
            <w:pPr>
              <w:rPr>
                <w:rFonts w:ascii="Arial" w:hAnsi="Arial" w:cs="Arial"/>
                <w:sz w:val="20"/>
                <w:szCs w:val="20"/>
              </w:rPr>
            </w:pPr>
          </w:p>
        </w:tc>
        <w:tc>
          <w:tcPr>
            <w:tcW w:w="500" w:type="dxa"/>
            <w:tcBorders>
              <w:top w:val="nil"/>
              <w:left w:val="nil"/>
              <w:bottom w:val="double" w:sz="6" w:space="0" w:color="FF6600"/>
              <w:right w:val="double" w:sz="6" w:space="0" w:color="FF6600"/>
            </w:tcBorders>
            <w:shd w:val="clear" w:color="auto" w:fill="FF0000"/>
          </w:tcPr>
          <w:p w14:paraId="3694D198" w14:textId="77777777" w:rsidR="00FA65F8" w:rsidRDefault="00FA65F8" w:rsidP="00FC6081">
            <w:pPr>
              <w:jc w:val="both"/>
              <w:rPr>
                <w:rFonts w:cs="Arial"/>
                <w:sz w:val="14"/>
                <w:szCs w:val="14"/>
              </w:rPr>
            </w:pPr>
            <w:r>
              <w:rPr>
                <w:rFonts w:cs="Arial"/>
                <w:sz w:val="14"/>
                <w:szCs w:val="14"/>
              </w:rPr>
              <w:t> </w:t>
            </w:r>
          </w:p>
        </w:tc>
        <w:tc>
          <w:tcPr>
            <w:tcW w:w="500" w:type="dxa"/>
            <w:tcBorders>
              <w:top w:val="nil"/>
              <w:left w:val="nil"/>
              <w:bottom w:val="double" w:sz="6" w:space="0" w:color="FF6600"/>
              <w:right w:val="double" w:sz="6" w:space="0" w:color="FF6600"/>
            </w:tcBorders>
            <w:shd w:val="clear" w:color="auto" w:fill="auto"/>
          </w:tcPr>
          <w:p w14:paraId="06399508" w14:textId="77777777" w:rsidR="00FA65F8" w:rsidRDefault="00FA65F8" w:rsidP="00FC6081">
            <w:pPr>
              <w:jc w:val="both"/>
              <w:rPr>
                <w:rFonts w:cs="Arial"/>
                <w:sz w:val="14"/>
                <w:szCs w:val="14"/>
              </w:rPr>
            </w:pPr>
            <w:r>
              <w:rPr>
                <w:rFonts w:cs="Arial"/>
                <w:sz w:val="14"/>
                <w:szCs w:val="14"/>
              </w:rPr>
              <w:t> </w:t>
            </w:r>
          </w:p>
        </w:tc>
        <w:tc>
          <w:tcPr>
            <w:tcW w:w="500" w:type="dxa"/>
            <w:tcBorders>
              <w:top w:val="nil"/>
              <w:left w:val="nil"/>
              <w:bottom w:val="double" w:sz="6" w:space="0" w:color="FF6600"/>
              <w:right w:val="double" w:sz="6" w:space="0" w:color="FF6600"/>
            </w:tcBorders>
            <w:shd w:val="clear" w:color="auto" w:fill="FF0000"/>
          </w:tcPr>
          <w:p w14:paraId="6A16FB17" w14:textId="77777777" w:rsidR="00FA65F8" w:rsidRDefault="00FA65F8" w:rsidP="00FC6081">
            <w:pPr>
              <w:jc w:val="both"/>
              <w:rPr>
                <w:rFonts w:cs="Arial"/>
                <w:sz w:val="14"/>
                <w:szCs w:val="14"/>
              </w:rPr>
            </w:pPr>
            <w:r>
              <w:rPr>
                <w:rFonts w:cs="Arial"/>
                <w:sz w:val="14"/>
                <w:szCs w:val="14"/>
              </w:rPr>
              <w:t> </w:t>
            </w:r>
          </w:p>
        </w:tc>
        <w:tc>
          <w:tcPr>
            <w:tcW w:w="500" w:type="dxa"/>
            <w:tcBorders>
              <w:top w:val="nil"/>
              <w:left w:val="nil"/>
              <w:bottom w:val="double" w:sz="6" w:space="0" w:color="FF6600"/>
              <w:right w:val="double" w:sz="6" w:space="0" w:color="FF6600"/>
            </w:tcBorders>
            <w:shd w:val="clear" w:color="auto" w:fill="FF0000"/>
          </w:tcPr>
          <w:p w14:paraId="0EABA17C" w14:textId="77777777" w:rsidR="00FA65F8" w:rsidRDefault="00FA65F8" w:rsidP="00FC6081">
            <w:pPr>
              <w:jc w:val="both"/>
              <w:rPr>
                <w:rFonts w:cs="Arial"/>
                <w:sz w:val="14"/>
                <w:szCs w:val="14"/>
              </w:rPr>
            </w:pPr>
            <w:r>
              <w:rPr>
                <w:rFonts w:cs="Arial"/>
                <w:sz w:val="14"/>
                <w:szCs w:val="14"/>
              </w:rPr>
              <w:t> </w:t>
            </w:r>
          </w:p>
        </w:tc>
        <w:tc>
          <w:tcPr>
            <w:tcW w:w="500" w:type="dxa"/>
            <w:tcBorders>
              <w:top w:val="nil"/>
              <w:left w:val="nil"/>
              <w:bottom w:val="double" w:sz="6" w:space="0" w:color="FF6600"/>
              <w:right w:val="double" w:sz="6" w:space="0" w:color="FF6600"/>
            </w:tcBorders>
            <w:shd w:val="clear" w:color="auto" w:fill="FF0000"/>
          </w:tcPr>
          <w:p w14:paraId="695EDCC0" w14:textId="77777777" w:rsidR="00FA65F8" w:rsidRDefault="00FA65F8" w:rsidP="00FC6081">
            <w:pPr>
              <w:jc w:val="both"/>
              <w:rPr>
                <w:rFonts w:cs="Arial"/>
                <w:sz w:val="14"/>
                <w:szCs w:val="14"/>
              </w:rPr>
            </w:pPr>
            <w:r>
              <w:rPr>
                <w:rFonts w:cs="Arial"/>
                <w:sz w:val="14"/>
                <w:szCs w:val="14"/>
              </w:rPr>
              <w:t> </w:t>
            </w:r>
          </w:p>
        </w:tc>
        <w:tc>
          <w:tcPr>
            <w:tcW w:w="500" w:type="dxa"/>
            <w:tcBorders>
              <w:top w:val="nil"/>
              <w:left w:val="nil"/>
              <w:bottom w:val="double" w:sz="6" w:space="0" w:color="FF6600"/>
              <w:right w:val="double" w:sz="6" w:space="0" w:color="FF6600"/>
            </w:tcBorders>
            <w:shd w:val="clear" w:color="auto" w:fill="auto"/>
            <w:vAlign w:val="bottom"/>
          </w:tcPr>
          <w:p w14:paraId="77478F42" w14:textId="77777777" w:rsidR="00FA65F8" w:rsidRDefault="00FA65F8" w:rsidP="00FC6081">
            <w:pPr>
              <w:rPr>
                <w:rFonts w:ascii="Arial" w:hAnsi="Arial" w:cs="Arial"/>
                <w:sz w:val="20"/>
                <w:szCs w:val="20"/>
              </w:rPr>
            </w:pPr>
          </w:p>
        </w:tc>
        <w:tc>
          <w:tcPr>
            <w:tcW w:w="500" w:type="dxa"/>
            <w:tcBorders>
              <w:top w:val="nil"/>
              <w:left w:val="nil"/>
              <w:bottom w:val="double" w:sz="6" w:space="0" w:color="FF6600"/>
              <w:right w:val="double" w:sz="6" w:space="0" w:color="FF6600"/>
            </w:tcBorders>
            <w:shd w:val="clear" w:color="auto" w:fill="auto"/>
            <w:vAlign w:val="bottom"/>
          </w:tcPr>
          <w:p w14:paraId="0F4FCB32" w14:textId="77777777" w:rsidR="00FA65F8" w:rsidRDefault="00FA65F8" w:rsidP="00FC6081">
            <w:pPr>
              <w:rPr>
                <w:rFonts w:ascii="Arial" w:hAnsi="Arial" w:cs="Arial"/>
                <w:sz w:val="20"/>
                <w:szCs w:val="20"/>
              </w:rPr>
            </w:pPr>
          </w:p>
        </w:tc>
        <w:tc>
          <w:tcPr>
            <w:tcW w:w="500" w:type="dxa"/>
            <w:tcBorders>
              <w:top w:val="nil"/>
              <w:left w:val="nil"/>
              <w:bottom w:val="double" w:sz="6" w:space="0" w:color="FF6600"/>
              <w:right w:val="double" w:sz="6" w:space="0" w:color="FF6600"/>
            </w:tcBorders>
            <w:shd w:val="clear" w:color="auto" w:fill="auto"/>
          </w:tcPr>
          <w:p w14:paraId="0332E627" w14:textId="77777777" w:rsidR="00FA65F8" w:rsidRDefault="00FA65F8" w:rsidP="00FC6081">
            <w:pPr>
              <w:jc w:val="both"/>
              <w:rPr>
                <w:rFonts w:cs="Arial"/>
                <w:sz w:val="14"/>
                <w:szCs w:val="14"/>
              </w:rPr>
            </w:pPr>
            <w:r>
              <w:rPr>
                <w:rFonts w:cs="Arial"/>
                <w:sz w:val="14"/>
                <w:szCs w:val="14"/>
              </w:rPr>
              <w:t> </w:t>
            </w:r>
          </w:p>
        </w:tc>
        <w:tc>
          <w:tcPr>
            <w:tcW w:w="500" w:type="dxa"/>
            <w:tcBorders>
              <w:top w:val="nil"/>
              <w:left w:val="nil"/>
              <w:bottom w:val="double" w:sz="6" w:space="0" w:color="FF6600"/>
              <w:right w:val="double" w:sz="6" w:space="0" w:color="FF6600"/>
            </w:tcBorders>
            <w:shd w:val="clear" w:color="auto" w:fill="auto"/>
          </w:tcPr>
          <w:p w14:paraId="52B4275B" w14:textId="77777777" w:rsidR="00FA65F8" w:rsidRDefault="00FA65F8" w:rsidP="00FC6081">
            <w:pPr>
              <w:jc w:val="both"/>
              <w:rPr>
                <w:rFonts w:cs="Arial"/>
                <w:sz w:val="14"/>
                <w:szCs w:val="14"/>
              </w:rPr>
            </w:pPr>
            <w:r>
              <w:rPr>
                <w:rFonts w:cs="Arial"/>
                <w:sz w:val="14"/>
                <w:szCs w:val="14"/>
              </w:rPr>
              <w:t> </w:t>
            </w:r>
          </w:p>
        </w:tc>
        <w:tc>
          <w:tcPr>
            <w:tcW w:w="520" w:type="dxa"/>
            <w:tcBorders>
              <w:top w:val="nil"/>
              <w:left w:val="nil"/>
              <w:bottom w:val="double" w:sz="6" w:space="0" w:color="FF6600"/>
              <w:right w:val="double" w:sz="6" w:space="0" w:color="FF6600"/>
            </w:tcBorders>
            <w:shd w:val="clear" w:color="auto" w:fill="auto"/>
          </w:tcPr>
          <w:p w14:paraId="6456A8F2" w14:textId="77777777" w:rsidR="00FA65F8" w:rsidRDefault="00FA65F8" w:rsidP="00FC6081">
            <w:pPr>
              <w:jc w:val="both"/>
              <w:rPr>
                <w:rFonts w:cs="Arial"/>
                <w:sz w:val="14"/>
                <w:szCs w:val="14"/>
              </w:rPr>
            </w:pPr>
            <w:r>
              <w:rPr>
                <w:rFonts w:cs="Arial"/>
                <w:sz w:val="14"/>
                <w:szCs w:val="14"/>
              </w:rPr>
              <w:t> </w:t>
            </w:r>
          </w:p>
        </w:tc>
        <w:tc>
          <w:tcPr>
            <w:tcW w:w="520" w:type="dxa"/>
            <w:tcBorders>
              <w:top w:val="nil"/>
              <w:left w:val="nil"/>
              <w:bottom w:val="double" w:sz="6" w:space="0" w:color="FF6600"/>
              <w:right w:val="double" w:sz="6" w:space="0" w:color="FF6600"/>
            </w:tcBorders>
            <w:shd w:val="clear" w:color="auto" w:fill="auto"/>
            <w:vAlign w:val="bottom"/>
          </w:tcPr>
          <w:p w14:paraId="6B9C496B" w14:textId="77777777" w:rsidR="00FA65F8" w:rsidRDefault="00FA65F8" w:rsidP="00FC6081">
            <w:pPr>
              <w:rPr>
                <w:rFonts w:ascii="Arial" w:hAnsi="Arial" w:cs="Arial"/>
                <w:sz w:val="20"/>
                <w:szCs w:val="20"/>
              </w:rPr>
            </w:pPr>
          </w:p>
        </w:tc>
        <w:tc>
          <w:tcPr>
            <w:tcW w:w="520" w:type="dxa"/>
            <w:tcBorders>
              <w:top w:val="nil"/>
              <w:left w:val="nil"/>
              <w:bottom w:val="double" w:sz="6" w:space="0" w:color="FF6600"/>
              <w:right w:val="double" w:sz="6" w:space="0" w:color="FF6600"/>
            </w:tcBorders>
            <w:shd w:val="clear" w:color="auto" w:fill="FF0000"/>
          </w:tcPr>
          <w:p w14:paraId="65B97139" w14:textId="77777777" w:rsidR="00FA65F8" w:rsidRDefault="00FA65F8" w:rsidP="00FC6081">
            <w:pPr>
              <w:jc w:val="both"/>
              <w:rPr>
                <w:rFonts w:cs="Arial"/>
                <w:color w:val="FF0000"/>
                <w:sz w:val="14"/>
                <w:szCs w:val="14"/>
              </w:rPr>
            </w:pPr>
            <w:r>
              <w:rPr>
                <w:rFonts w:cs="Arial"/>
                <w:color w:val="FF0000"/>
                <w:sz w:val="14"/>
                <w:szCs w:val="14"/>
              </w:rPr>
              <w:t> </w:t>
            </w:r>
          </w:p>
        </w:tc>
      </w:tr>
      <w:tr w:rsidR="00FA65F8" w:rsidRPr="003C798E" w14:paraId="7ED602D5" w14:textId="77777777" w:rsidTr="00FC6081">
        <w:trPr>
          <w:trHeight w:val="285"/>
        </w:trPr>
        <w:tc>
          <w:tcPr>
            <w:tcW w:w="1380" w:type="dxa"/>
            <w:tcBorders>
              <w:top w:val="nil"/>
              <w:left w:val="double" w:sz="6" w:space="0" w:color="FF6600"/>
              <w:bottom w:val="double" w:sz="6" w:space="0" w:color="FFFFFF"/>
              <w:right w:val="double" w:sz="6" w:space="0" w:color="FF6600"/>
            </w:tcBorders>
            <w:shd w:val="clear" w:color="auto" w:fill="FF6600"/>
          </w:tcPr>
          <w:p w14:paraId="39B6A0A1" w14:textId="77777777" w:rsidR="00FA65F8" w:rsidRPr="003C798E" w:rsidRDefault="00FA65F8" w:rsidP="00FC6081">
            <w:pPr>
              <w:jc w:val="both"/>
              <w:rPr>
                <w:rFonts w:eastAsia="Times New Roman" w:cs="Arial"/>
                <w:b/>
                <w:bCs/>
                <w:color w:val="FFFFFF"/>
                <w:sz w:val="18"/>
                <w:szCs w:val="18"/>
                <w:lang w:eastAsia="bg-BG"/>
              </w:rPr>
            </w:pPr>
            <w:r w:rsidRPr="003C798E">
              <w:rPr>
                <w:rFonts w:eastAsia="Times New Roman" w:cs="Arial"/>
                <w:b/>
                <w:bCs/>
                <w:color w:val="FFFFFF"/>
                <w:sz w:val="18"/>
                <w:szCs w:val="18"/>
                <w:lang w:eastAsia="bg-BG"/>
              </w:rPr>
              <w:t>Нисък</w:t>
            </w:r>
          </w:p>
        </w:tc>
        <w:tc>
          <w:tcPr>
            <w:tcW w:w="500" w:type="dxa"/>
            <w:tcBorders>
              <w:top w:val="nil"/>
              <w:left w:val="nil"/>
              <w:bottom w:val="double" w:sz="6" w:space="0" w:color="FF6600"/>
              <w:right w:val="double" w:sz="6" w:space="0" w:color="FF6600"/>
            </w:tcBorders>
            <w:shd w:val="clear" w:color="auto" w:fill="auto"/>
            <w:noWrap/>
            <w:vAlign w:val="bottom"/>
          </w:tcPr>
          <w:p w14:paraId="2E3D0FB0" w14:textId="77777777" w:rsidR="00FA65F8" w:rsidRDefault="00FA65F8" w:rsidP="00FC6081">
            <w:pPr>
              <w:rPr>
                <w:rFonts w:ascii="Arial" w:hAnsi="Arial" w:cs="Arial"/>
                <w:sz w:val="20"/>
                <w:szCs w:val="20"/>
              </w:rPr>
            </w:pPr>
            <w:r>
              <w:rPr>
                <w:rFonts w:ascii="Arial" w:hAnsi="Arial" w:cs="Arial"/>
                <w:sz w:val="20"/>
                <w:szCs w:val="20"/>
              </w:rPr>
              <w:t> </w:t>
            </w:r>
          </w:p>
        </w:tc>
        <w:tc>
          <w:tcPr>
            <w:tcW w:w="500" w:type="dxa"/>
            <w:tcBorders>
              <w:top w:val="nil"/>
              <w:left w:val="nil"/>
              <w:bottom w:val="double" w:sz="6" w:space="0" w:color="FF6600"/>
              <w:right w:val="double" w:sz="6" w:space="0" w:color="FF6600"/>
            </w:tcBorders>
            <w:shd w:val="clear" w:color="auto" w:fill="auto"/>
          </w:tcPr>
          <w:p w14:paraId="778FAC8C" w14:textId="77777777" w:rsidR="00FA65F8" w:rsidRDefault="00FA65F8" w:rsidP="00FC6081">
            <w:pPr>
              <w:jc w:val="both"/>
              <w:rPr>
                <w:rFonts w:cs="Arial"/>
                <w:sz w:val="14"/>
                <w:szCs w:val="14"/>
              </w:rPr>
            </w:pPr>
            <w:r>
              <w:rPr>
                <w:rFonts w:cs="Arial"/>
                <w:sz w:val="14"/>
                <w:szCs w:val="14"/>
              </w:rPr>
              <w:t> </w:t>
            </w:r>
          </w:p>
        </w:tc>
        <w:tc>
          <w:tcPr>
            <w:tcW w:w="500" w:type="dxa"/>
            <w:tcBorders>
              <w:top w:val="nil"/>
              <w:left w:val="nil"/>
              <w:bottom w:val="double" w:sz="6" w:space="0" w:color="FF6600"/>
              <w:right w:val="double" w:sz="6" w:space="0" w:color="FF6600"/>
            </w:tcBorders>
            <w:shd w:val="clear" w:color="auto" w:fill="auto"/>
          </w:tcPr>
          <w:p w14:paraId="5DDB805A" w14:textId="77777777" w:rsidR="00FA65F8" w:rsidRDefault="00FA65F8" w:rsidP="00FC6081">
            <w:pPr>
              <w:jc w:val="both"/>
              <w:rPr>
                <w:rFonts w:cs="Arial"/>
                <w:sz w:val="14"/>
                <w:szCs w:val="14"/>
              </w:rPr>
            </w:pPr>
            <w:r>
              <w:rPr>
                <w:rFonts w:cs="Arial"/>
                <w:sz w:val="14"/>
                <w:szCs w:val="14"/>
              </w:rPr>
              <w:t> </w:t>
            </w:r>
          </w:p>
        </w:tc>
        <w:tc>
          <w:tcPr>
            <w:tcW w:w="500" w:type="dxa"/>
            <w:tcBorders>
              <w:top w:val="nil"/>
              <w:left w:val="nil"/>
              <w:bottom w:val="double" w:sz="6" w:space="0" w:color="FF6600"/>
              <w:right w:val="double" w:sz="6" w:space="0" w:color="FF6600"/>
            </w:tcBorders>
            <w:shd w:val="clear" w:color="auto" w:fill="auto"/>
            <w:vAlign w:val="bottom"/>
          </w:tcPr>
          <w:p w14:paraId="48D7E286" w14:textId="77777777" w:rsidR="00FA65F8" w:rsidRDefault="00FA65F8" w:rsidP="00FC6081">
            <w:pPr>
              <w:rPr>
                <w:rFonts w:ascii="Arial" w:hAnsi="Arial" w:cs="Arial"/>
                <w:sz w:val="20"/>
                <w:szCs w:val="20"/>
              </w:rPr>
            </w:pPr>
          </w:p>
        </w:tc>
        <w:tc>
          <w:tcPr>
            <w:tcW w:w="580" w:type="dxa"/>
            <w:tcBorders>
              <w:top w:val="nil"/>
              <w:left w:val="nil"/>
              <w:bottom w:val="double" w:sz="6" w:space="0" w:color="FF6600"/>
              <w:right w:val="double" w:sz="6" w:space="0" w:color="FF6600"/>
            </w:tcBorders>
            <w:shd w:val="clear" w:color="auto" w:fill="auto"/>
            <w:vAlign w:val="bottom"/>
          </w:tcPr>
          <w:p w14:paraId="1D1A02C0" w14:textId="77777777" w:rsidR="00FA65F8" w:rsidRDefault="00FA65F8" w:rsidP="00FC6081">
            <w:pPr>
              <w:rPr>
                <w:rFonts w:ascii="Arial" w:hAnsi="Arial" w:cs="Arial"/>
                <w:sz w:val="20"/>
                <w:szCs w:val="20"/>
              </w:rPr>
            </w:pPr>
          </w:p>
        </w:tc>
        <w:tc>
          <w:tcPr>
            <w:tcW w:w="500" w:type="dxa"/>
            <w:tcBorders>
              <w:top w:val="nil"/>
              <w:left w:val="nil"/>
              <w:bottom w:val="double" w:sz="6" w:space="0" w:color="FF6600"/>
              <w:right w:val="double" w:sz="6" w:space="0" w:color="FF6600"/>
            </w:tcBorders>
            <w:shd w:val="clear" w:color="auto" w:fill="auto"/>
          </w:tcPr>
          <w:p w14:paraId="09E851F3" w14:textId="77777777" w:rsidR="00FA65F8" w:rsidRDefault="00FA65F8" w:rsidP="00FC6081">
            <w:pPr>
              <w:jc w:val="both"/>
              <w:rPr>
                <w:rFonts w:cs="Arial"/>
                <w:sz w:val="14"/>
                <w:szCs w:val="14"/>
              </w:rPr>
            </w:pPr>
            <w:r>
              <w:rPr>
                <w:rFonts w:cs="Arial"/>
                <w:sz w:val="14"/>
                <w:szCs w:val="14"/>
              </w:rPr>
              <w:t> </w:t>
            </w:r>
          </w:p>
        </w:tc>
        <w:tc>
          <w:tcPr>
            <w:tcW w:w="500" w:type="dxa"/>
            <w:tcBorders>
              <w:top w:val="nil"/>
              <w:left w:val="nil"/>
              <w:bottom w:val="double" w:sz="6" w:space="0" w:color="FF6600"/>
              <w:right w:val="double" w:sz="6" w:space="0" w:color="FF6600"/>
            </w:tcBorders>
            <w:shd w:val="clear" w:color="auto" w:fill="auto"/>
          </w:tcPr>
          <w:p w14:paraId="309C94B8" w14:textId="77777777" w:rsidR="00FA65F8" w:rsidRDefault="00FA65F8" w:rsidP="00FC6081">
            <w:pPr>
              <w:jc w:val="both"/>
              <w:rPr>
                <w:rFonts w:cs="Arial"/>
                <w:sz w:val="14"/>
                <w:szCs w:val="14"/>
              </w:rPr>
            </w:pPr>
            <w:r>
              <w:rPr>
                <w:rFonts w:cs="Arial"/>
                <w:sz w:val="14"/>
                <w:szCs w:val="14"/>
              </w:rPr>
              <w:t> </w:t>
            </w:r>
          </w:p>
        </w:tc>
        <w:tc>
          <w:tcPr>
            <w:tcW w:w="500" w:type="dxa"/>
            <w:tcBorders>
              <w:top w:val="nil"/>
              <w:left w:val="nil"/>
              <w:bottom w:val="double" w:sz="6" w:space="0" w:color="FF6600"/>
              <w:right w:val="double" w:sz="6" w:space="0" w:color="FF6600"/>
            </w:tcBorders>
            <w:shd w:val="clear" w:color="auto" w:fill="auto"/>
          </w:tcPr>
          <w:p w14:paraId="02022E97" w14:textId="77777777" w:rsidR="00FA65F8" w:rsidRDefault="00FA65F8" w:rsidP="00FC6081">
            <w:pPr>
              <w:jc w:val="both"/>
              <w:rPr>
                <w:rFonts w:cs="Arial"/>
                <w:sz w:val="14"/>
                <w:szCs w:val="14"/>
              </w:rPr>
            </w:pPr>
            <w:r>
              <w:rPr>
                <w:rFonts w:cs="Arial"/>
                <w:sz w:val="14"/>
                <w:szCs w:val="14"/>
              </w:rPr>
              <w:t> </w:t>
            </w:r>
          </w:p>
        </w:tc>
        <w:tc>
          <w:tcPr>
            <w:tcW w:w="500" w:type="dxa"/>
            <w:tcBorders>
              <w:top w:val="nil"/>
              <w:left w:val="nil"/>
              <w:bottom w:val="double" w:sz="6" w:space="0" w:color="FF6600"/>
              <w:right w:val="double" w:sz="6" w:space="0" w:color="FF6600"/>
            </w:tcBorders>
            <w:shd w:val="clear" w:color="auto" w:fill="auto"/>
          </w:tcPr>
          <w:p w14:paraId="28C1FEDE" w14:textId="77777777" w:rsidR="00FA65F8" w:rsidRDefault="00FA65F8" w:rsidP="00FC6081">
            <w:pPr>
              <w:jc w:val="both"/>
              <w:rPr>
                <w:rFonts w:cs="Arial"/>
                <w:sz w:val="14"/>
                <w:szCs w:val="14"/>
              </w:rPr>
            </w:pPr>
            <w:r>
              <w:rPr>
                <w:rFonts w:cs="Arial"/>
                <w:sz w:val="14"/>
                <w:szCs w:val="14"/>
              </w:rPr>
              <w:t> </w:t>
            </w:r>
          </w:p>
        </w:tc>
        <w:tc>
          <w:tcPr>
            <w:tcW w:w="500" w:type="dxa"/>
            <w:tcBorders>
              <w:top w:val="nil"/>
              <w:left w:val="nil"/>
              <w:bottom w:val="double" w:sz="6" w:space="0" w:color="FF6600"/>
              <w:right w:val="double" w:sz="6" w:space="0" w:color="FF6600"/>
            </w:tcBorders>
            <w:shd w:val="clear" w:color="auto" w:fill="auto"/>
          </w:tcPr>
          <w:p w14:paraId="355B6457" w14:textId="77777777" w:rsidR="00FA65F8" w:rsidRDefault="00FA65F8" w:rsidP="00FC6081">
            <w:pPr>
              <w:jc w:val="both"/>
              <w:rPr>
                <w:rFonts w:cs="Arial"/>
                <w:sz w:val="14"/>
                <w:szCs w:val="14"/>
              </w:rPr>
            </w:pPr>
            <w:r>
              <w:rPr>
                <w:rFonts w:cs="Arial"/>
                <w:sz w:val="14"/>
                <w:szCs w:val="14"/>
              </w:rPr>
              <w:t> </w:t>
            </w:r>
          </w:p>
        </w:tc>
        <w:tc>
          <w:tcPr>
            <w:tcW w:w="500" w:type="dxa"/>
            <w:tcBorders>
              <w:top w:val="nil"/>
              <w:left w:val="nil"/>
              <w:bottom w:val="double" w:sz="6" w:space="0" w:color="FF6600"/>
              <w:right w:val="double" w:sz="6" w:space="0" w:color="FF6600"/>
            </w:tcBorders>
            <w:shd w:val="clear" w:color="auto" w:fill="auto"/>
          </w:tcPr>
          <w:p w14:paraId="0E253859" w14:textId="77777777" w:rsidR="00FA65F8" w:rsidRDefault="00FA65F8" w:rsidP="00FC6081">
            <w:pPr>
              <w:jc w:val="both"/>
              <w:rPr>
                <w:rFonts w:cs="Arial"/>
                <w:sz w:val="14"/>
                <w:szCs w:val="14"/>
              </w:rPr>
            </w:pPr>
            <w:r>
              <w:rPr>
                <w:rFonts w:cs="Arial"/>
                <w:sz w:val="14"/>
                <w:szCs w:val="14"/>
              </w:rPr>
              <w:t> </w:t>
            </w:r>
          </w:p>
        </w:tc>
        <w:tc>
          <w:tcPr>
            <w:tcW w:w="500" w:type="dxa"/>
            <w:tcBorders>
              <w:top w:val="nil"/>
              <w:left w:val="nil"/>
              <w:bottom w:val="double" w:sz="6" w:space="0" w:color="FF6600"/>
              <w:right w:val="double" w:sz="6" w:space="0" w:color="FF6600"/>
            </w:tcBorders>
            <w:shd w:val="clear" w:color="auto" w:fill="auto"/>
          </w:tcPr>
          <w:p w14:paraId="44EF6089" w14:textId="77777777" w:rsidR="00FA65F8" w:rsidRDefault="00FA65F8" w:rsidP="00FC6081">
            <w:pPr>
              <w:jc w:val="both"/>
              <w:rPr>
                <w:rFonts w:cs="Arial"/>
                <w:sz w:val="14"/>
                <w:szCs w:val="14"/>
              </w:rPr>
            </w:pPr>
            <w:r>
              <w:rPr>
                <w:rFonts w:cs="Arial"/>
                <w:sz w:val="14"/>
                <w:szCs w:val="14"/>
              </w:rPr>
              <w:t> </w:t>
            </w:r>
          </w:p>
        </w:tc>
        <w:tc>
          <w:tcPr>
            <w:tcW w:w="500" w:type="dxa"/>
            <w:tcBorders>
              <w:top w:val="nil"/>
              <w:left w:val="nil"/>
              <w:bottom w:val="double" w:sz="6" w:space="0" w:color="FF6600"/>
              <w:right w:val="double" w:sz="6" w:space="0" w:color="FF6600"/>
            </w:tcBorders>
            <w:shd w:val="clear" w:color="auto" w:fill="auto"/>
          </w:tcPr>
          <w:p w14:paraId="2E573612" w14:textId="77777777" w:rsidR="00FA65F8" w:rsidRDefault="00FA65F8" w:rsidP="00FC6081">
            <w:pPr>
              <w:jc w:val="both"/>
              <w:rPr>
                <w:rFonts w:cs="Arial"/>
                <w:sz w:val="14"/>
                <w:szCs w:val="14"/>
              </w:rPr>
            </w:pPr>
            <w:r>
              <w:rPr>
                <w:rFonts w:cs="Arial"/>
                <w:sz w:val="14"/>
                <w:szCs w:val="14"/>
              </w:rPr>
              <w:t> </w:t>
            </w:r>
          </w:p>
        </w:tc>
        <w:tc>
          <w:tcPr>
            <w:tcW w:w="500" w:type="dxa"/>
            <w:tcBorders>
              <w:top w:val="nil"/>
              <w:left w:val="nil"/>
              <w:bottom w:val="double" w:sz="6" w:space="0" w:color="FF6600"/>
              <w:right w:val="double" w:sz="6" w:space="0" w:color="FF6600"/>
            </w:tcBorders>
            <w:shd w:val="clear" w:color="auto" w:fill="auto"/>
          </w:tcPr>
          <w:p w14:paraId="62C22342" w14:textId="77777777" w:rsidR="00FA65F8" w:rsidRDefault="00FA65F8" w:rsidP="00FC6081">
            <w:pPr>
              <w:jc w:val="both"/>
              <w:rPr>
                <w:rFonts w:cs="Arial"/>
                <w:sz w:val="14"/>
                <w:szCs w:val="14"/>
              </w:rPr>
            </w:pPr>
            <w:r>
              <w:rPr>
                <w:rFonts w:cs="Arial"/>
                <w:sz w:val="14"/>
                <w:szCs w:val="14"/>
              </w:rPr>
              <w:t> </w:t>
            </w:r>
          </w:p>
        </w:tc>
        <w:tc>
          <w:tcPr>
            <w:tcW w:w="520" w:type="dxa"/>
            <w:tcBorders>
              <w:top w:val="nil"/>
              <w:left w:val="nil"/>
              <w:bottom w:val="double" w:sz="6" w:space="0" w:color="FF6600"/>
              <w:right w:val="double" w:sz="6" w:space="0" w:color="FF6600"/>
            </w:tcBorders>
            <w:shd w:val="clear" w:color="auto" w:fill="385623"/>
          </w:tcPr>
          <w:p w14:paraId="4CCF8932" w14:textId="77777777" w:rsidR="00FA65F8" w:rsidRDefault="00FA65F8" w:rsidP="00FC6081">
            <w:pPr>
              <w:jc w:val="both"/>
              <w:rPr>
                <w:rFonts w:cs="Arial"/>
                <w:sz w:val="14"/>
                <w:szCs w:val="14"/>
              </w:rPr>
            </w:pPr>
            <w:r>
              <w:rPr>
                <w:rFonts w:cs="Arial"/>
                <w:sz w:val="14"/>
                <w:szCs w:val="14"/>
              </w:rPr>
              <w:t> </w:t>
            </w:r>
          </w:p>
        </w:tc>
        <w:tc>
          <w:tcPr>
            <w:tcW w:w="520" w:type="dxa"/>
            <w:tcBorders>
              <w:top w:val="nil"/>
              <w:left w:val="nil"/>
              <w:bottom w:val="double" w:sz="6" w:space="0" w:color="FF6600"/>
              <w:right w:val="double" w:sz="6" w:space="0" w:color="FF6600"/>
            </w:tcBorders>
            <w:shd w:val="clear" w:color="auto" w:fill="385623"/>
          </w:tcPr>
          <w:p w14:paraId="50CF246C" w14:textId="77777777" w:rsidR="00FA65F8" w:rsidRDefault="00FA65F8" w:rsidP="00FC6081">
            <w:pPr>
              <w:jc w:val="both"/>
              <w:rPr>
                <w:rFonts w:cs="Arial"/>
                <w:sz w:val="14"/>
                <w:szCs w:val="14"/>
              </w:rPr>
            </w:pPr>
            <w:r>
              <w:rPr>
                <w:rFonts w:cs="Arial"/>
                <w:sz w:val="14"/>
                <w:szCs w:val="14"/>
              </w:rPr>
              <w:t> </w:t>
            </w:r>
          </w:p>
        </w:tc>
        <w:tc>
          <w:tcPr>
            <w:tcW w:w="520" w:type="dxa"/>
            <w:tcBorders>
              <w:top w:val="nil"/>
              <w:left w:val="nil"/>
              <w:bottom w:val="double" w:sz="6" w:space="0" w:color="FF6600"/>
              <w:right w:val="double" w:sz="6" w:space="0" w:color="FF6600"/>
            </w:tcBorders>
            <w:shd w:val="clear" w:color="auto" w:fill="auto"/>
          </w:tcPr>
          <w:p w14:paraId="35B5143C" w14:textId="77777777" w:rsidR="00FA65F8" w:rsidRDefault="00FA65F8" w:rsidP="00FC6081">
            <w:pPr>
              <w:jc w:val="both"/>
              <w:rPr>
                <w:rFonts w:cs="Arial"/>
                <w:sz w:val="14"/>
                <w:szCs w:val="14"/>
              </w:rPr>
            </w:pPr>
            <w:r>
              <w:rPr>
                <w:rFonts w:cs="Arial"/>
                <w:sz w:val="14"/>
                <w:szCs w:val="14"/>
              </w:rPr>
              <w:t> </w:t>
            </w:r>
          </w:p>
        </w:tc>
      </w:tr>
      <w:tr w:rsidR="00FA65F8" w:rsidRPr="003C798E" w14:paraId="0C4DD668" w14:textId="77777777" w:rsidTr="00FC6081">
        <w:trPr>
          <w:trHeight w:val="285"/>
        </w:trPr>
        <w:tc>
          <w:tcPr>
            <w:tcW w:w="1380" w:type="dxa"/>
            <w:tcBorders>
              <w:top w:val="nil"/>
              <w:left w:val="double" w:sz="6" w:space="0" w:color="FF6600"/>
              <w:bottom w:val="double" w:sz="6" w:space="0" w:color="FF6600"/>
              <w:right w:val="double" w:sz="6" w:space="0" w:color="FF6600"/>
            </w:tcBorders>
            <w:shd w:val="clear" w:color="auto" w:fill="FF6600"/>
          </w:tcPr>
          <w:p w14:paraId="733798B1" w14:textId="77777777" w:rsidR="00FA65F8" w:rsidRPr="003C798E" w:rsidRDefault="00FA65F8" w:rsidP="00FC6081">
            <w:pPr>
              <w:jc w:val="both"/>
              <w:rPr>
                <w:rFonts w:eastAsia="Times New Roman" w:cs="Arial"/>
                <w:b/>
                <w:bCs/>
                <w:color w:val="FFFFFF"/>
                <w:sz w:val="18"/>
                <w:szCs w:val="18"/>
                <w:lang w:eastAsia="bg-BG"/>
              </w:rPr>
            </w:pPr>
            <w:r w:rsidRPr="003C798E">
              <w:rPr>
                <w:rFonts w:eastAsia="Times New Roman" w:cs="Arial"/>
                <w:b/>
                <w:bCs/>
                <w:color w:val="FFFFFF"/>
                <w:sz w:val="18"/>
                <w:szCs w:val="18"/>
                <w:lang w:eastAsia="bg-BG"/>
              </w:rPr>
              <w:t>Без риск</w:t>
            </w:r>
          </w:p>
        </w:tc>
        <w:tc>
          <w:tcPr>
            <w:tcW w:w="500" w:type="dxa"/>
            <w:tcBorders>
              <w:top w:val="nil"/>
              <w:left w:val="nil"/>
              <w:bottom w:val="double" w:sz="6" w:space="0" w:color="FF6600"/>
              <w:right w:val="double" w:sz="6" w:space="0" w:color="FF6600"/>
            </w:tcBorders>
            <w:shd w:val="clear" w:color="auto" w:fill="auto"/>
          </w:tcPr>
          <w:p w14:paraId="36E9AD1F" w14:textId="77777777" w:rsidR="00FA65F8" w:rsidRDefault="00FA65F8" w:rsidP="00FC6081">
            <w:pPr>
              <w:jc w:val="both"/>
              <w:rPr>
                <w:rFonts w:cs="Arial"/>
                <w:sz w:val="14"/>
                <w:szCs w:val="14"/>
              </w:rPr>
            </w:pPr>
            <w:r>
              <w:rPr>
                <w:rFonts w:cs="Arial"/>
                <w:sz w:val="14"/>
                <w:szCs w:val="14"/>
              </w:rPr>
              <w:t> </w:t>
            </w:r>
          </w:p>
        </w:tc>
        <w:tc>
          <w:tcPr>
            <w:tcW w:w="500" w:type="dxa"/>
            <w:tcBorders>
              <w:top w:val="nil"/>
              <w:left w:val="nil"/>
              <w:bottom w:val="double" w:sz="6" w:space="0" w:color="FF6600"/>
              <w:right w:val="double" w:sz="6" w:space="0" w:color="FF6600"/>
            </w:tcBorders>
            <w:shd w:val="clear" w:color="auto" w:fill="auto"/>
          </w:tcPr>
          <w:p w14:paraId="3DA34A9D" w14:textId="77777777" w:rsidR="00FA65F8" w:rsidRDefault="00FA65F8" w:rsidP="00FC6081">
            <w:pPr>
              <w:jc w:val="both"/>
              <w:rPr>
                <w:rFonts w:cs="Arial"/>
                <w:sz w:val="14"/>
                <w:szCs w:val="14"/>
              </w:rPr>
            </w:pPr>
            <w:r>
              <w:rPr>
                <w:rFonts w:cs="Arial"/>
                <w:sz w:val="14"/>
                <w:szCs w:val="14"/>
              </w:rPr>
              <w:t> </w:t>
            </w:r>
          </w:p>
        </w:tc>
        <w:tc>
          <w:tcPr>
            <w:tcW w:w="500" w:type="dxa"/>
            <w:tcBorders>
              <w:top w:val="nil"/>
              <w:left w:val="nil"/>
              <w:bottom w:val="double" w:sz="6" w:space="0" w:color="FF6600"/>
              <w:right w:val="double" w:sz="6" w:space="0" w:color="FF6600"/>
            </w:tcBorders>
            <w:shd w:val="clear" w:color="auto" w:fill="auto"/>
          </w:tcPr>
          <w:p w14:paraId="3C724665" w14:textId="77777777" w:rsidR="00FA65F8" w:rsidRDefault="00FA65F8" w:rsidP="00FC6081">
            <w:pPr>
              <w:jc w:val="both"/>
              <w:rPr>
                <w:rFonts w:cs="Arial"/>
                <w:sz w:val="14"/>
                <w:szCs w:val="14"/>
              </w:rPr>
            </w:pPr>
            <w:r>
              <w:rPr>
                <w:rFonts w:cs="Arial"/>
                <w:sz w:val="14"/>
                <w:szCs w:val="14"/>
              </w:rPr>
              <w:t> </w:t>
            </w:r>
          </w:p>
        </w:tc>
        <w:tc>
          <w:tcPr>
            <w:tcW w:w="500" w:type="dxa"/>
            <w:tcBorders>
              <w:top w:val="nil"/>
              <w:left w:val="nil"/>
              <w:bottom w:val="double" w:sz="6" w:space="0" w:color="FF6600"/>
              <w:right w:val="double" w:sz="6" w:space="0" w:color="FF6600"/>
            </w:tcBorders>
            <w:shd w:val="clear" w:color="auto" w:fill="auto"/>
          </w:tcPr>
          <w:p w14:paraId="070376F9" w14:textId="77777777" w:rsidR="00FA65F8" w:rsidRDefault="00FA65F8" w:rsidP="00FC6081">
            <w:pPr>
              <w:jc w:val="both"/>
              <w:rPr>
                <w:rFonts w:cs="Arial"/>
                <w:sz w:val="14"/>
                <w:szCs w:val="14"/>
              </w:rPr>
            </w:pPr>
            <w:r>
              <w:rPr>
                <w:rFonts w:cs="Arial"/>
                <w:sz w:val="14"/>
                <w:szCs w:val="14"/>
              </w:rPr>
              <w:t> </w:t>
            </w:r>
          </w:p>
        </w:tc>
        <w:tc>
          <w:tcPr>
            <w:tcW w:w="580" w:type="dxa"/>
            <w:tcBorders>
              <w:top w:val="nil"/>
              <w:left w:val="nil"/>
              <w:bottom w:val="double" w:sz="6" w:space="0" w:color="FF6600"/>
              <w:right w:val="double" w:sz="6" w:space="0" w:color="FF6600"/>
            </w:tcBorders>
            <w:shd w:val="clear" w:color="auto" w:fill="auto"/>
          </w:tcPr>
          <w:p w14:paraId="2AF7DF9D" w14:textId="77777777" w:rsidR="00FA65F8" w:rsidRDefault="00FA65F8" w:rsidP="00FC6081">
            <w:pPr>
              <w:jc w:val="both"/>
              <w:rPr>
                <w:rFonts w:cs="Arial"/>
                <w:sz w:val="14"/>
                <w:szCs w:val="14"/>
              </w:rPr>
            </w:pPr>
            <w:r>
              <w:rPr>
                <w:rFonts w:cs="Arial"/>
                <w:sz w:val="14"/>
                <w:szCs w:val="14"/>
              </w:rPr>
              <w:t> </w:t>
            </w:r>
          </w:p>
        </w:tc>
        <w:tc>
          <w:tcPr>
            <w:tcW w:w="500" w:type="dxa"/>
            <w:tcBorders>
              <w:top w:val="nil"/>
              <w:left w:val="nil"/>
              <w:bottom w:val="double" w:sz="6" w:space="0" w:color="FF6600"/>
              <w:right w:val="double" w:sz="6" w:space="0" w:color="FF6600"/>
            </w:tcBorders>
            <w:shd w:val="clear" w:color="auto" w:fill="auto"/>
          </w:tcPr>
          <w:p w14:paraId="024A4382" w14:textId="77777777" w:rsidR="00FA65F8" w:rsidRDefault="00FA65F8" w:rsidP="00FC6081">
            <w:pPr>
              <w:jc w:val="both"/>
              <w:rPr>
                <w:rFonts w:cs="Arial"/>
                <w:sz w:val="14"/>
                <w:szCs w:val="14"/>
              </w:rPr>
            </w:pPr>
            <w:r>
              <w:rPr>
                <w:rFonts w:cs="Arial"/>
                <w:sz w:val="14"/>
                <w:szCs w:val="14"/>
              </w:rPr>
              <w:t> </w:t>
            </w:r>
          </w:p>
        </w:tc>
        <w:tc>
          <w:tcPr>
            <w:tcW w:w="500" w:type="dxa"/>
            <w:tcBorders>
              <w:top w:val="nil"/>
              <w:left w:val="nil"/>
              <w:bottom w:val="double" w:sz="6" w:space="0" w:color="FF6600"/>
              <w:right w:val="double" w:sz="6" w:space="0" w:color="FF6600"/>
            </w:tcBorders>
            <w:shd w:val="clear" w:color="auto" w:fill="auto"/>
          </w:tcPr>
          <w:p w14:paraId="760C91EA" w14:textId="77777777" w:rsidR="00FA65F8" w:rsidRDefault="00FA65F8" w:rsidP="00FC6081">
            <w:pPr>
              <w:jc w:val="both"/>
              <w:rPr>
                <w:rFonts w:cs="Arial"/>
                <w:sz w:val="14"/>
                <w:szCs w:val="14"/>
              </w:rPr>
            </w:pPr>
            <w:r>
              <w:rPr>
                <w:rFonts w:cs="Arial"/>
                <w:sz w:val="14"/>
                <w:szCs w:val="14"/>
              </w:rPr>
              <w:t> </w:t>
            </w:r>
          </w:p>
        </w:tc>
        <w:tc>
          <w:tcPr>
            <w:tcW w:w="500" w:type="dxa"/>
            <w:tcBorders>
              <w:top w:val="nil"/>
              <w:left w:val="nil"/>
              <w:bottom w:val="double" w:sz="6" w:space="0" w:color="FF6600"/>
              <w:right w:val="double" w:sz="6" w:space="0" w:color="FF6600"/>
            </w:tcBorders>
            <w:shd w:val="clear" w:color="auto" w:fill="auto"/>
          </w:tcPr>
          <w:p w14:paraId="5B46A6FC" w14:textId="77777777" w:rsidR="00FA65F8" w:rsidRDefault="00FA65F8" w:rsidP="00FC6081">
            <w:pPr>
              <w:jc w:val="both"/>
              <w:rPr>
                <w:rFonts w:cs="Arial"/>
                <w:sz w:val="14"/>
                <w:szCs w:val="14"/>
              </w:rPr>
            </w:pPr>
            <w:r>
              <w:rPr>
                <w:rFonts w:cs="Arial"/>
                <w:sz w:val="14"/>
                <w:szCs w:val="14"/>
              </w:rPr>
              <w:t> </w:t>
            </w:r>
          </w:p>
        </w:tc>
        <w:tc>
          <w:tcPr>
            <w:tcW w:w="500" w:type="dxa"/>
            <w:tcBorders>
              <w:top w:val="nil"/>
              <w:left w:val="nil"/>
              <w:bottom w:val="double" w:sz="6" w:space="0" w:color="FF6600"/>
              <w:right w:val="double" w:sz="6" w:space="0" w:color="FF6600"/>
            </w:tcBorders>
            <w:shd w:val="clear" w:color="auto" w:fill="auto"/>
          </w:tcPr>
          <w:p w14:paraId="4080EE62" w14:textId="77777777" w:rsidR="00FA65F8" w:rsidRDefault="00FA65F8" w:rsidP="00FC6081">
            <w:pPr>
              <w:jc w:val="both"/>
              <w:rPr>
                <w:rFonts w:cs="Arial"/>
                <w:sz w:val="14"/>
                <w:szCs w:val="14"/>
              </w:rPr>
            </w:pPr>
            <w:r>
              <w:rPr>
                <w:rFonts w:cs="Arial"/>
                <w:sz w:val="14"/>
                <w:szCs w:val="14"/>
              </w:rPr>
              <w:t> </w:t>
            </w:r>
          </w:p>
        </w:tc>
        <w:tc>
          <w:tcPr>
            <w:tcW w:w="500" w:type="dxa"/>
            <w:tcBorders>
              <w:top w:val="nil"/>
              <w:left w:val="nil"/>
              <w:bottom w:val="double" w:sz="6" w:space="0" w:color="FF6600"/>
              <w:right w:val="double" w:sz="6" w:space="0" w:color="FF6600"/>
            </w:tcBorders>
            <w:shd w:val="clear" w:color="auto" w:fill="auto"/>
          </w:tcPr>
          <w:p w14:paraId="2D460177" w14:textId="77777777" w:rsidR="00FA65F8" w:rsidRDefault="00FA65F8" w:rsidP="00FC6081">
            <w:pPr>
              <w:jc w:val="both"/>
              <w:rPr>
                <w:rFonts w:cs="Arial"/>
                <w:sz w:val="14"/>
                <w:szCs w:val="14"/>
              </w:rPr>
            </w:pPr>
            <w:r>
              <w:rPr>
                <w:rFonts w:cs="Arial"/>
                <w:sz w:val="14"/>
                <w:szCs w:val="14"/>
              </w:rPr>
              <w:t> </w:t>
            </w:r>
          </w:p>
        </w:tc>
        <w:tc>
          <w:tcPr>
            <w:tcW w:w="500" w:type="dxa"/>
            <w:tcBorders>
              <w:top w:val="nil"/>
              <w:left w:val="nil"/>
              <w:bottom w:val="double" w:sz="6" w:space="0" w:color="FF6600"/>
              <w:right w:val="double" w:sz="6" w:space="0" w:color="FF6600"/>
            </w:tcBorders>
            <w:shd w:val="clear" w:color="auto" w:fill="auto"/>
          </w:tcPr>
          <w:p w14:paraId="71B3003A" w14:textId="77777777" w:rsidR="00FA65F8" w:rsidRDefault="00FA65F8" w:rsidP="00FC6081">
            <w:pPr>
              <w:jc w:val="both"/>
              <w:rPr>
                <w:rFonts w:cs="Arial"/>
                <w:sz w:val="14"/>
                <w:szCs w:val="14"/>
              </w:rPr>
            </w:pPr>
            <w:r>
              <w:rPr>
                <w:rFonts w:cs="Arial"/>
                <w:sz w:val="14"/>
                <w:szCs w:val="14"/>
              </w:rPr>
              <w:t> </w:t>
            </w:r>
          </w:p>
        </w:tc>
        <w:tc>
          <w:tcPr>
            <w:tcW w:w="500" w:type="dxa"/>
            <w:tcBorders>
              <w:top w:val="nil"/>
              <w:left w:val="nil"/>
              <w:bottom w:val="double" w:sz="6" w:space="0" w:color="FF6600"/>
              <w:right w:val="double" w:sz="6" w:space="0" w:color="FF6600"/>
            </w:tcBorders>
            <w:shd w:val="clear" w:color="auto" w:fill="auto"/>
          </w:tcPr>
          <w:p w14:paraId="7B1CB4A4" w14:textId="77777777" w:rsidR="00FA65F8" w:rsidRDefault="00FA65F8" w:rsidP="00FC6081">
            <w:pPr>
              <w:jc w:val="both"/>
              <w:rPr>
                <w:rFonts w:cs="Arial"/>
                <w:sz w:val="14"/>
                <w:szCs w:val="14"/>
              </w:rPr>
            </w:pPr>
            <w:r>
              <w:rPr>
                <w:rFonts w:cs="Arial"/>
                <w:sz w:val="14"/>
                <w:szCs w:val="14"/>
              </w:rPr>
              <w:t> </w:t>
            </w:r>
          </w:p>
        </w:tc>
        <w:tc>
          <w:tcPr>
            <w:tcW w:w="500" w:type="dxa"/>
            <w:tcBorders>
              <w:top w:val="nil"/>
              <w:left w:val="nil"/>
              <w:bottom w:val="double" w:sz="6" w:space="0" w:color="FF6600"/>
              <w:right w:val="double" w:sz="6" w:space="0" w:color="FF6600"/>
            </w:tcBorders>
            <w:shd w:val="clear" w:color="auto" w:fill="385623"/>
          </w:tcPr>
          <w:p w14:paraId="174AF649" w14:textId="77777777" w:rsidR="00FA65F8" w:rsidRDefault="00FA65F8" w:rsidP="00FC6081">
            <w:pPr>
              <w:jc w:val="both"/>
              <w:rPr>
                <w:rFonts w:cs="Arial"/>
                <w:sz w:val="14"/>
                <w:szCs w:val="14"/>
              </w:rPr>
            </w:pPr>
            <w:r>
              <w:rPr>
                <w:rFonts w:cs="Arial"/>
                <w:sz w:val="14"/>
                <w:szCs w:val="14"/>
              </w:rPr>
              <w:t> </w:t>
            </w:r>
          </w:p>
        </w:tc>
        <w:tc>
          <w:tcPr>
            <w:tcW w:w="500" w:type="dxa"/>
            <w:tcBorders>
              <w:top w:val="nil"/>
              <w:left w:val="nil"/>
              <w:bottom w:val="double" w:sz="6" w:space="0" w:color="FF6600"/>
              <w:right w:val="double" w:sz="6" w:space="0" w:color="FF6600"/>
            </w:tcBorders>
            <w:shd w:val="clear" w:color="auto" w:fill="385623"/>
          </w:tcPr>
          <w:p w14:paraId="31D707FE" w14:textId="77777777" w:rsidR="00FA65F8" w:rsidRDefault="00FA65F8" w:rsidP="00FC6081">
            <w:pPr>
              <w:jc w:val="both"/>
              <w:rPr>
                <w:rFonts w:cs="Arial"/>
                <w:sz w:val="14"/>
                <w:szCs w:val="14"/>
              </w:rPr>
            </w:pPr>
            <w:r>
              <w:rPr>
                <w:rFonts w:cs="Arial"/>
                <w:sz w:val="14"/>
                <w:szCs w:val="14"/>
              </w:rPr>
              <w:t> </w:t>
            </w:r>
          </w:p>
        </w:tc>
        <w:tc>
          <w:tcPr>
            <w:tcW w:w="520" w:type="dxa"/>
            <w:tcBorders>
              <w:top w:val="nil"/>
              <w:left w:val="nil"/>
              <w:bottom w:val="double" w:sz="6" w:space="0" w:color="FF6600"/>
              <w:right w:val="double" w:sz="6" w:space="0" w:color="FF6600"/>
            </w:tcBorders>
            <w:shd w:val="clear" w:color="auto" w:fill="auto"/>
          </w:tcPr>
          <w:p w14:paraId="215A5AF7" w14:textId="77777777" w:rsidR="00FA65F8" w:rsidRDefault="00FA65F8" w:rsidP="00FC6081">
            <w:pPr>
              <w:jc w:val="both"/>
              <w:rPr>
                <w:rFonts w:cs="Arial"/>
                <w:sz w:val="14"/>
                <w:szCs w:val="14"/>
              </w:rPr>
            </w:pPr>
            <w:r>
              <w:rPr>
                <w:rFonts w:cs="Arial"/>
                <w:sz w:val="14"/>
                <w:szCs w:val="14"/>
              </w:rPr>
              <w:t> </w:t>
            </w:r>
          </w:p>
        </w:tc>
        <w:tc>
          <w:tcPr>
            <w:tcW w:w="520" w:type="dxa"/>
            <w:tcBorders>
              <w:top w:val="nil"/>
              <w:left w:val="nil"/>
              <w:bottom w:val="double" w:sz="6" w:space="0" w:color="FF6600"/>
              <w:right w:val="double" w:sz="6" w:space="0" w:color="FF6600"/>
            </w:tcBorders>
            <w:shd w:val="clear" w:color="auto" w:fill="auto"/>
          </w:tcPr>
          <w:p w14:paraId="22607858" w14:textId="77777777" w:rsidR="00FA65F8" w:rsidRDefault="00FA65F8" w:rsidP="00FC6081">
            <w:pPr>
              <w:jc w:val="both"/>
              <w:rPr>
                <w:rFonts w:cs="Arial"/>
                <w:sz w:val="14"/>
                <w:szCs w:val="14"/>
              </w:rPr>
            </w:pPr>
            <w:r>
              <w:rPr>
                <w:rFonts w:cs="Arial"/>
                <w:sz w:val="14"/>
                <w:szCs w:val="14"/>
              </w:rPr>
              <w:t> </w:t>
            </w:r>
          </w:p>
        </w:tc>
        <w:tc>
          <w:tcPr>
            <w:tcW w:w="520" w:type="dxa"/>
            <w:tcBorders>
              <w:top w:val="nil"/>
              <w:left w:val="nil"/>
              <w:bottom w:val="double" w:sz="6" w:space="0" w:color="FF6600"/>
              <w:right w:val="double" w:sz="6" w:space="0" w:color="FF6600"/>
            </w:tcBorders>
            <w:shd w:val="clear" w:color="auto" w:fill="auto"/>
          </w:tcPr>
          <w:p w14:paraId="69F58DCD" w14:textId="77777777" w:rsidR="00FA65F8" w:rsidRDefault="00FA65F8" w:rsidP="00FC6081">
            <w:pPr>
              <w:jc w:val="both"/>
              <w:rPr>
                <w:rFonts w:cs="Arial"/>
                <w:sz w:val="14"/>
                <w:szCs w:val="14"/>
              </w:rPr>
            </w:pPr>
            <w:r>
              <w:rPr>
                <w:rFonts w:cs="Arial"/>
                <w:sz w:val="14"/>
                <w:szCs w:val="14"/>
              </w:rPr>
              <w:t> </w:t>
            </w:r>
          </w:p>
        </w:tc>
      </w:tr>
      <w:tr w:rsidR="00FA65F8" w:rsidRPr="003C798E" w14:paraId="1ED1DF02" w14:textId="77777777" w:rsidTr="00FC6081">
        <w:trPr>
          <w:trHeight w:val="270"/>
        </w:trPr>
        <w:tc>
          <w:tcPr>
            <w:tcW w:w="1380" w:type="dxa"/>
            <w:tcBorders>
              <w:top w:val="nil"/>
              <w:left w:val="nil"/>
              <w:bottom w:val="nil"/>
              <w:right w:val="nil"/>
            </w:tcBorders>
            <w:shd w:val="clear" w:color="auto" w:fill="auto"/>
            <w:noWrap/>
            <w:vAlign w:val="bottom"/>
          </w:tcPr>
          <w:p w14:paraId="2126FA99" w14:textId="77777777" w:rsidR="00FA65F8" w:rsidRPr="003C798E" w:rsidRDefault="00FA65F8" w:rsidP="00FC6081">
            <w:pPr>
              <w:rPr>
                <w:rFonts w:ascii="Arial" w:eastAsia="Times New Roman" w:hAnsi="Arial" w:cs="Arial"/>
                <w:sz w:val="20"/>
                <w:szCs w:val="20"/>
                <w:lang w:eastAsia="bg-BG"/>
              </w:rPr>
            </w:pPr>
          </w:p>
        </w:tc>
        <w:tc>
          <w:tcPr>
            <w:tcW w:w="500" w:type="dxa"/>
            <w:tcBorders>
              <w:top w:val="nil"/>
              <w:left w:val="nil"/>
              <w:bottom w:val="nil"/>
              <w:right w:val="nil"/>
            </w:tcBorders>
            <w:shd w:val="clear" w:color="auto" w:fill="auto"/>
            <w:noWrap/>
            <w:vAlign w:val="bottom"/>
          </w:tcPr>
          <w:p w14:paraId="6F687680" w14:textId="77777777" w:rsidR="00FA65F8" w:rsidRPr="003C798E" w:rsidRDefault="00FA65F8" w:rsidP="00FC6081">
            <w:pPr>
              <w:rPr>
                <w:rFonts w:ascii="Arial" w:eastAsia="Times New Roman" w:hAnsi="Arial" w:cs="Arial"/>
                <w:sz w:val="20"/>
                <w:szCs w:val="20"/>
                <w:lang w:eastAsia="bg-BG"/>
              </w:rPr>
            </w:pPr>
          </w:p>
        </w:tc>
        <w:tc>
          <w:tcPr>
            <w:tcW w:w="500" w:type="dxa"/>
            <w:tcBorders>
              <w:top w:val="nil"/>
              <w:left w:val="nil"/>
              <w:bottom w:val="nil"/>
              <w:right w:val="nil"/>
            </w:tcBorders>
            <w:shd w:val="clear" w:color="auto" w:fill="auto"/>
            <w:noWrap/>
            <w:vAlign w:val="bottom"/>
          </w:tcPr>
          <w:p w14:paraId="1597122D" w14:textId="77777777" w:rsidR="00FA65F8" w:rsidRPr="003C798E" w:rsidRDefault="00FA65F8" w:rsidP="00FC6081">
            <w:pPr>
              <w:rPr>
                <w:rFonts w:ascii="Arial" w:eastAsia="Times New Roman" w:hAnsi="Arial" w:cs="Arial"/>
                <w:sz w:val="20"/>
                <w:szCs w:val="20"/>
                <w:lang w:eastAsia="bg-BG"/>
              </w:rPr>
            </w:pPr>
          </w:p>
        </w:tc>
        <w:tc>
          <w:tcPr>
            <w:tcW w:w="500" w:type="dxa"/>
            <w:tcBorders>
              <w:top w:val="nil"/>
              <w:left w:val="nil"/>
              <w:bottom w:val="nil"/>
              <w:right w:val="nil"/>
            </w:tcBorders>
            <w:shd w:val="clear" w:color="auto" w:fill="auto"/>
            <w:noWrap/>
            <w:vAlign w:val="bottom"/>
          </w:tcPr>
          <w:p w14:paraId="5FA0FD9F" w14:textId="77777777" w:rsidR="00FA65F8" w:rsidRPr="003C798E" w:rsidRDefault="00FA65F8" w:rsidP="00FC6081">
            <w:pPr>
              <w:rPr>
                <w:rFonts w:ascii="Arial" w:eastAsia="Times New Roman" w:hAnsi="Arial" w:cs="Arial"/>
                <w:sz w:val="20"/>
                <w:szCs w:val="20"/>
                <w:lang w:eastAsia="bg-BG"/>
              </w:rPr>
            </w:pPr>
          </w:p>
        </w:tc>
        <w:tc>
          <w:tcPr>
            <w:tcW w:w="500" w:type="dxa"/>
            <w:tcBorders>
              <w:top w:val="nil"/>
              <w:left w:val="nil"/>
              <w:bottom w:val="nil"/>
              <w:right w:val="nil"/>
            </w:tcBorders>
            <w:shd w:val="clear" w:color="auto" w:fill="auto"/>
            <w:noWrap/>
            <w:vAlign w:val="bottom"/>
          </w:tcPr>
          <w:p w14:paraId="3E2E9C39" w14:textId="77777777" w:rsidR="00FA65F8" w:rsidRPr="003C798E" w:rsidRDefault="00FA65F8" w:rsidP="00FC6081">
            <w:pPr>
              <w:rPr>
                <w:rFonts w:ascii="Arial" w:eastAsia="Times New Roman" w:hAnsi="Arial" w:cs="Arial"/>
                <w:sz w:val="20"/>
                <w:szCs w:val="20"/>
                <w:lang w:eastAsia="bg-BG"/>
              </w:rPr>
            </w:pPr>
          </w:p>
        </w:tc>
        <w:tc>
          <w:tcPr>
            <w:tcW w:w="580" w:type="dxa"/>
            <w:tcBorders>
              <w:top w:val="nil"/>
              <w:left w:val="nil"/>
              <w:bottom w:val="nil"/>
              <w:right w:val="nil"/>
            </w:tcBorders>
            <w:shd w:val="clear" w:color="auto" w:fill="auto"/>
            <w:noWrap/>
            <w:vAlign w:val="bottom"/>
          </w:tcPr>
          <w:p w14:paraId="1D2BF9EC" w14:textId="77777777" w:rsidR="00FA65F8" w:rsidRPr="003C798E" w:rsidRDefault="00FA65F8" w:rsidP="00FC6081">
            <w:pPr>
              <w:rPr>
                <w:rFonts w:ascii="Arial" w:eastAsia="Times New Roman" w:hAnsi="Arial" w:cs="Arial"/>
                <w:sz w:val="20"/>
                <w:szCs w:val="20"/>
                <w:lang w:eastAsia="bg-BG"/>
              </w:rPr>
            </w:pPr>
          </w:p>
        </w:tc>
        <w:tc>
          <w:tcPr>
            <w:tcW w:w="500" w:type="dxa"/>
            <w:tcBorders>
              <w:top w:val="nil"/>
              <w:left w:val="nil"/>
              <w:bottom w:val="nil"/>
              <w:right w:val="nil"/>
            </w:tcBorders>
            <w:shd w:val="clear" w:color="auto" w:fill="auto"/>
            <w:noWrap/>
            <w:vAlign w:val="bottom"/>
          </w:tcPr>
          <w:p w14:paraId="3B1F8397" w14:textId="77777777" w:rsidR="00FA65F8" w:rsidRPr="003C798E" w:rsidRDefault="00FA65F8" w:rsidP="00FC6081">
            <w:pPr>
              <w:rPr>
                <w:rFonts w:ascii="Arial" w:eastAsia="Times New Roman" w:hAnsi="Arial" w:cs="Arial"/>
                <w:sz w:val="20"/>
                <w:szCs w:val="20"/>
                <w:lang w:eastAsia="bg-BG"/>
              </w:rPr>
            </w:pPr>
          </w:p>
        </w:tc>
        <w:tc>
          <w:tcPr>
            <w:tcW w:w="500" w:type="dxa"/>
            <w:tcBorders>
              <w:top w:val="nil"/>
              <w:left w:val="nil"/>
              <w:bottom w:val="nil"/>
              <w:right w:val="nil"/>
            </w:tcBorders>
            <w:shd w:val="clear" w:color="auto" w:fill="auto"/>
            <w:noWrap/>
            <w:vAlign w:val="bottom"/>
          </w:tcPr>
          <w:p w14:paraId="4307FBD1" w14:textId="77777777" w:rsidR="00FA65F8" w:rsidRPr="003C798E" w:rsidRDefault="00FA65F8" w:rsidP="00FC6081">
            <w:pPr>
              <w:rPr>
                <w:rFonts w:ascii="Arial" w:eastAsia="Times New Roman" w:hAnsi="Arial" w:cs="Arial"/>
                <w:sz w:val="20"/>
                <w:szCs w:val="20"/>
                <w:lang w:eastAsia="bg-BG"/>
              </w:rPr>
            </w:pPr>
          </w:p>
        </w:tc>
        <w:tc>
          <w:tcPr>
            <w:tcW w:w="500" w:type="dxa"/>
            <w:tcBorders>
              <w:top w:val="nil"/>
              <w:left w:val="nil"/>
              <w:bottom w:val="nil"/>
              <w:right w:val="nil"/>
            </w:tcBorders>
            <w:shd w:val="clear" w:color="auto" w:fill="auto"/>
            <w:noWrap/>
            <w:vAlign w:val="bottom"/>
          </w:tcPr>
          <w:p w14:paraId="2454511A" w14:textId="77777777" w:rsidR="00FA65F8" w:rsidRPr="003C798E" w:rsidRDefault="00FA65F8" w:rsidP="00FC6081">
            <w:pPr>
              <w:rPr>
                <w:rFonts w:ascii="Arial" w:eastAsia="Times New Roman" w:hAnsi="Arial" w:cs="Arial"/>
                <w:sz w:val="20"/>
                <w:szCs w:val="20"/>
                <w:lang w:eastAsia="bg-BG"/>
              </w:rPr>
            </w:pPr>
          </w:p>
        </w:tc>
        <w:tc>
          <w:tcPr>
            <w:tcW w:w="500" w:type="dxa"/>
            <w:tcBorders>
              <w:top w:val="nil"/>
              <w:left w:val="nil"/>
              <w:bottom w:val="nil"/>
              <w:right w:val="nil"/>
            </w:tcBorders>
            <w:shd w:val="clear" w:color="auto" w:fill="auto"/>
            <w:noWrap/>
            <w:vAlign w:val="bottom"/>
          </w:tcPr>
          <w:p w14:paraId="51B8138F" w14:textId="77777777" w:rsidR="00FA65F8" w:rsidRPr="003C798E" w:rsidRDefault="00FA65F8" w:rsidP="00FC6081">
            <w:pPr>
              <w:rPr>
                <w:rFonts w:ascii="Arial" w:eastAsia="Times New Roman" w:hAnsi="Arial" w:cs="Arial"/>
                <w:sz w:val="20"/>
                <w:szCs w:val="20"/>
                <w:lang w:eastAsia="bg-BG"/>
              </w:rPr>
            </w:pPr>
          </w:p>
        </w:tc>
        <w:tc>
          <w:tcPr>
            <w:tcW w:w="500" w:type="dxa"/>
            <w:tcBorders>
              <w:top w:val="nil"/>
              <w:left w:val="nil"/>
              <w:bottom w:val="nil"/>
              <w:right w:val="nil"/>
            </w:tcBorders>
            <w:shd w:val="clear" w:color="auto" w:fill="auto"/>
            <w:noWrap/>
            <w:vAlign w:val="bottom"/>
          </w:tcPr>
          <w:p w14:paraId="1DD328DF" w14:textId="77777777" w:rsidR="00FA65F8" w:rsidRPr="003C798E" w:rsidRDefault="00FA65F8" w:rsidP="00FC6081">
            <w:pPr>
              <w:rPr>
                <w:rFonts w:ascii="Arial" w:eastAsia="Times New Roman" w:hAnsi="Arial" w:cs="Arial"/>
                <w:sz w:val="20"/>
                <w:szCs w:val="20"/>
                <w:lang w:eastAsia="bg-BG"/>
              </w:rPr>
            </w:pPr>
          </w:p>
        </w:tc>
        <w:tc>
          <w:tcPr>
            <w:tcW w:w="500" w:type="dxa"/>
            <w:tcBorders>
              <w:top w:val="nil"/>
              <w:left w:val="nil"/>
              <w:bottom w:val="nil"/>
              <w:right w:val="nil"/>
            </w:tcBorders>
            <w:shd w:val="clear" w:color="auto" w:fill="auto"/>
            <w:noWrap/>
            <w:vAlign w:val="bottom"/>
          </w:tcPr>
          <w:p w14:paraId="48D3B745" w14:textId="77777777" w:rsidR="00FA65F8" w:rsidRPr="003C798E" w:rsidRDefault="00FA65F8" w:rsidP="00FC6081">
            <w:pPr>
              <w:rPr>
                <w:rFonts w:ascii="Arial" w:eastAsia="Times New Roman" w:hAnsi="Arial" w:cs="Arial"/>
                <w:sz w:val="20"/>
                <w:szCs w:val="20"/>
                <w:lang w:eastAsia="bg-BG"/>
              </w:rPr>
            </w:pPr>
          </w:p>
        </w:tc>
        <w:tc>
          <w:tcPr>
            <w:tcW w:w="500" w:type="dxa"/>
            <w:tcBorders>
              <w:top w:val="nil"/>
              <w:left w:val="nil"/>
              <w:bottom w:val="nil"/>
              <w:right w:val="nil"/>
            </w:tcBorders>
            <w:shd w:val="clear" w:color="auto" w:fill="auto"/>
            <w:noWrap/>
            <w:vAlign w:val="bottom"/>
          </w:tcPr>
          <w:p w14:paraId="7D2ABE1C" w14:textId="77777777" w:rsidR="00FA65F8" w:rsidRPr="003C798E" w:rsidRDefault="00FA65F8" w:rsidP="00FC6081">
            <w:pPr>
              <w:rPr>
                <w:rFonts w:ascii="Arial" w:eastAsia="Times New Roman" w:hAnsi="Arial" w:cs="Arial"/>
                <w:sz w:val="20"/>
                <w:szCs w:val="20"/>
                <w:lang w:eastAsia="bg-BG"/>
              </w:rPr>
            </w:pPr>
          </w:p>
        </w:tc>
        <w:tc>
          <w:tcPr>
            <w:tcW w:w="500" w:type="dxa"/>
            <w:tcBorders>
              <w:top w:val="nil"/>
              <w:left w:val="nil"/>
              <w:bottom w:val="nil"/>
              <w:right w:val="nil"/>
            </w:tcBorders>
            <w:shd w:val="clear" w:color="auto" w:fill="auto"/>
            <w:noWrap/>
            <w:vAlign w:val="bottom"/>
          </w:tcPr>
          <w:p w14:paraId="6BCC3586" w14:textId="77777777" w:rsidR="00FA65F8" w:rsidRPr="003C798E" w:rsidRDefault="00FA65F8" w:rsidP="00FC6081">
            <w:pPr>
              <w:rPr>
                <w:rFonts w:ascii="Arial" w:eastAsia="Times New Roman" w:hAnsi="Arial" w:cs="Arial"/>
                <w:sz w:val="20"/>
                <w:szCs w:val="20"/>
                <w:lang w:eastAsia="bg-BG"/>
              </w:rPr>
            </w:pPr>
          </w:p>
        </w:tc>
        <w:tc>
          <w:tcPr>
            <w:tcW w:w="500" w:type="dxa"/>
            <w:tcBorders>
              <w:top w:val="nil"/>
              <w:left w:val="nil"/>
              <w:bottom w:val="nil"/>
              <w:right w:val="nil"/>
            </w:tcBorders>
            <w:shd w:val="clear" w:color="auto" w:fill="auto"/>
            <w:noWrap/>
            <w:vAlign w:val="bottom"/>
          </w:tcPr>
          <w:p w14:paraId="142E518A" w14:textId="77777777" w:rsidR="00FA65F8" w:rsidRPr="003C798E" w:rsidRDefault="00FA65F8" w:rsidP="00FC6081">
            <w:pPr>
              <w:rPr>
                <w:rFonts w:ascii="Arial" w:eastAsia="Times New Roman" w:hAnsi="Arial" w:cs="Arial"/>
                <w:sz w:val="20"/>
                <w:szCs w:val="20"/>
                <w:lang w:eastAsia="bg-BG"/>
              </w:rPr>
            </w:pPr>
          </w:p>
        </w:tc>
        <w:tc>
          <w:tcPr>
            <w:tcW w:w="520" w:type="dxa"/>
            <w:tcBorders>
              <w:top w:val="nil"/>
              <w:left w:val="nil"/>
              <w:bottom w:val="nil"/>
              <w:right w:val="nil"/>
            </w:tcBorders>
            <w:shd w:val="clear" w:color="auto" w:fill="auto"/>
            <w:noWrap/>
            <w:vAlign w:val="bottom"/>
          </w:tcPr>
          <w:p w14:paraId="4FFAD859" w14:textId="77777777" w:rsidR="00FA65F8" w:rsidRPr="003C798E" w:rsidRDefault="00FA65F8" w:rsidP="00FC6081">
            <w:pPr>
              <w:rPr>
                <w:rFonts w:ascii="Arial" w:eastAsia="Times New Roman" w:hAnsi="Arial" w:cs="Arial"/>
                <w:sz w:val="20"/>
                <w:szCs w:val="20"/>
                <w:lang w:eastAsia="bg-BG"/>
              </w:rPr>
            </w:pPr>
          </w:p>
        </w:tc>
        <w:tc>
          <w:tcPr>
            <w:tcW w:w="520" w:type="dxa"/>
            <w:tcBorders>
              <w:top w:val="nil"/>
              <w:left w:val="nil"/>
              <w:bottom w:val="nil"/>
              <w:right w:val="nil"/>
            </w:tcBorders>
            <w:shd w:val="clear" w:color="auto" w:fill="auto"/>
            <w:noWrap/>
            <w:vAlign w:val="bottom"/>
          </w:tcPr>
          <w:p w14:paraId="654AB788" w14:textId="77777777" w:rsidR="00FA65F8" w:rsidRPr="003C798E" w:rsidRDefault="00FA65F8" w:rsidP="00FC6081">
            <w:pPr>
              <w:rPr>
                <w:rFonts w:ascii="Arial" w:eastAsia="Times New Roman" w:hAnsi="Arial" w:cs="Arial"/>
                <w:sz w:val="20"/>
                <w:szCs w:val="20"/>
                <w:lang w:eastAsia="bg-BG"/>
              </w:rPr>
            </w:pPr>
          </w:p>
        </w:tc>
        <w:tc>
          <w:tcPr>
            <w:tcW w:w="520" w:type="dxa"/>
            <w:tcBorders>
              <w:top w:val="nil"/>
              <w:left w:val="nil"/>
              <w:bottom w:val="nil"/>
              <w:right w:val="nil"/>
            </w:tcBorders>
            <w:shd w:val="clear" w:color="auto" w:fill="auto"/>
            <w:noWrap/>
            <w:vAlign w:val="bottom"/>
          </w:tcPr>
          <w:p w14:paraId="7E6FB724" w14:textId="77777777" w:rsidR="00FA65F8" w:rsidRPr="003C798E" w:rsidRDefault="00FA65F8" w:rsidP="00FC6081">
            <w:pPr>
              <w:rPr>
                <w:rFonts w:ascii="Arial" w:eastAsia="Times New Roman" w:hAnsi="Arial" w:cs="Arial"/>
                <w:sz w:val="20"/>
                <w:szCs w:val="20"/>
                <w:lang w:eastAsia="bg-BG"/>
              </w:rPr>
            </w:pPr>
          </w:p>
        </w:tc>
      </w:tr>
      <w:tr w:rsidR="00FA65F8" w:rsidRPr="003C798E" w14:paraId="5FEAECF8" w14:textId="77777777" w:rsidTr="00FC6081">
        <w:trPr>
          <w:trHeight w:val="255"/>
        </w:trPr>
        <w:tc>
          <w:tcPr>
            <w:tcW w:w="1380" w:type="dxa"/>
            <w:tcBorders>
              <w:top w:val="nil"/>
              <w:left w:val="nil"/>
              <w:bottom w:val="nil"/>
              <w:right w:val="nil"/>
            </w:tcBorders>
            <w:shd w:val="clear" w:color="auto" w:fill="auto"/>
            <w:noWrap/>
            <w:vAlign w:val="bottom"/>
          </w:tcPr>
          <w:p w14:paraId="74651E2C" w14:textId="77777777" w:rsidR="00FA65F8" w:rsidRPr="003C798E" w:rsidRDefault="00FA65F8" w:rsidP="00FC6081">
            <w:pPr>
              <w:rPr>
                <w:rFonts w:ascii="Arial" w:eastAsia="Times New Roman" w:hAnsi="Arial" w:cs="Arial"/>
                <w:sz w:val="20"/>
                <w:szCs w:val="20"/>
                <w:lang w:eastAsia="bg-BG"/>
              </w:rPr>
            </w:pPr>
          </w:p>
        </w:tc>
        <w:tc>
          <w:tcPr>
            <w:tcW w:w="500" w:type="dxa"/>
            <w:tcBorders>
              <w:top w:val="nil"/>
              <w:left w:val="nil"/>
              <w:bottom w:val="nil"/>
              <w:right w:val="nil"/>
            </w:tcBorders>
            <w:shd w:val="clear" w:color="auto" w:fill="FF0000"/>
            <w:noWrap/>
            <w:vAlign w:val="bottom"/>
          </w:tcPr>
          <w:p w14:paraId="66438501" w14:textId="77777777" w:rsidR="00FA65F8" w:rsidRPr="003C798E" w:rsidRDefault="00FA65F8" w:rsidP="00FC6081">
            <w:pPr>
              <w:rPr>
                <w:rFonts w:ascii="Arial" w:eastAsia="Times New Roman" w:hAnsi="Arial" w:cs="Arial"/>
                <w:sz w:val="20"/>
                <w:szCs w:val="20"/>
                <w:lang w:eastAsia="bg-BG"/>
              </w:rPr>
            </w:pPr>
            <w:r w:rsidRPr="003C798E">
              <w:rPr>
                <w:rFonts w:ascii="Arial" w:eastAsia="Times New Roman" w:hAnsi="Arial" w:cs="Arial"/>
                <w:sz w:val="20"/>
                <w:szCs w:val="20"/>
                <w:lang w:eastAsia="bg-BG"/>
              </w:rPr>
              <w:t> </w:t>
            </w:r>
          </w:p>
        </w:tc>
        <w:tc>
          <w:tcPr>
            <w:tcW w:w="4580" w:type="dxa"/>
            <w:gridSpan w:val="9"/>
            <w:tcBorders>
              <w:top w:val="nil"/>
              <w:left w:val="nil"/>
              <w:bottom w:val="nil"/>
              <w:right w:val="nil"/>
            </w:tcBorders>
            <w:shd w:val="clear" w:color="auto" w:fill="auto"/>
            <w:noWrap/>
            <w:vAlign w:val="bottom"/>
          </w:tcPr>
          <w:p w14:paraId="47525D7E" w14:textId="77777777" w:rsidR="00FA65F8" w:rsidRPr="003C798E" w:rsidRDefault="00FA65F8" w:rsidP="00FC6081">
            <w:pPr>
              <w:rPr>
                <w:rFonts w:eastAsia="Times New Roman" w:cs="Arial"/>
                <w:b/>
                <w:bCs/>
                <w:i/>
                <w:iCs/>
                <w:sz w:val="18"/>
                <w:szCs w:val="18"/>
                <w:lang w:eastAsia="bg-BG"/>
              </w:rPr>
            </w:pPr>
            <w:r w:rsidRPr="003C798E">
              <w:rPr>
                <w:rFonts w:eastAsia="Times New Roman" w:cs="Arial"/>
                <w:b/>
                <w:bCs/>
                <w:i/>
                <w:iCs/>
                <w:sz w:val="18"/>
                <w:szCs w:val="18"/>
                <w:lang w:eastAsia="bg-BG"/>
              </w:rPr>
              <w:t>Труднопроходимо поле (много висок / висок / среден)</w:t>
            </w:r>
          </w:p>
        </w:tc>
        <w:tc>
          <w:tcPr>
            <w:tcW w:w="500" w:type="dxa"/>
            <w:tcBorders>
              <w:top w:val="nil"/>
              <w:left w:val="nil"/>
              <w:bottom w:val="nil"/>
              <w:right w:val="nil"/>
            </w:tcBorders>
            <w:shd w:val="clear" w:color="auto" w:fill="auto"/>
            <w:noWrap/>
            <w:vAlign w:val="bottom"/>
          </w:tcPr>
          <w:p w14:paraId="3DD9745A" w14:textId="77777777" w:rsidR="00FA65F8" w:rsidRPr="003C798E" w:rsidRDefault="00FA65F8" w:rsidP="00FC6081">
            <w:pPr>
              <w:rPr>
                <w:rFonts w:ascii="Arial" w:eastAsia="Times New Roman" w:hAnsi="Arial" w:cs="Arial"/>
                <w:sz w:val="20"/>
                <w:szCs w:val="20"/>
                <w:lang w:eastAsia="bg-BG"/>
              </w:rPr>
            </w:pPr>
          </w:p>
        </w:tc>
        <w:tc>
          <w:tcPr>
            <w:tcW w:w="500" w:type="dxa"/>
            <w:tcBorders>
              <w:top w:val="nil"/>
              <w:left w:val="nil"/>
              <w:bottom w:val="nil"/>
              <w:right w:val="nil"/>
            </w:tcBorders>
            <w:shd w:val="clear" w:color="auto" w:fill="auto"/>
            <w:noWrap/>
            <w:vAlign w:val="bottom"/>
          </w:tcPr>
          <w:p w14:paraId="5A5188C5" w14:textId="77777777" w:rsidR="00FA65F8" w:rsidRPr="003C798E" w:rsidRDefault="00FA65F8" w:rsidP="00FC6081">
            <w:pPr>
              <w:rPr>
                <w:rFonts w:ascii="Arial" w:eastAsia="Times New Roman" w:hAnsi="Arial" w:cs="Arial"/>
                <w:sz w:val="20"/>
                <w:szCs w:val="20"/>
                <w:lang w:eastAsia="bg-BG"/>
              </w:rPr>
            </w:pPr>
          </w:p>
        </w:tc>
        <w:tc>
          <w:tcPr>
            <w:tcW w:w="500" w:type="dxa"/>
            <w:tcBorders>
              <w:top w:val="nil"/>
              <w:left w:val="nil"/>
              <w:bottom w:val="nil"/>
              <w:right w:val="nil"/>
            </w:tcBorders>
            <w:shd w:val="clear" w:color="auto" w:fill="auto"/>
            <w:noWrap/>
            <w:vAlign w:val="bottom"/>
          </w:tcPr>
          <w:p w14:paraId="04F8D2E0" w14:textId="77777777" w:rsidR="00FA65F8" w:rsidRPr="003C798E" w:rsidRDefault="00FA65F8" w:rsidP="00FC6081">
            <w:pPr>
              <w:rPr>
                <w:rFonts w:ascii="Arial" w:eastAsia="Times New Roman" w:hAnsi="Arial" w:cs="Arial"/>
                <w:sz w:val="20"/>
                <w:szCs w:val="20"/>
                <w:lang w:eastAsia="bg-BG"/>
              </w:rPr>
            </w:pPr>
          </w:p>
        </w:tc>
        <w:tc>
          <w:tcPr>
            <w:tcW w:w="500" w:type="dxa"/>
            <w:tcBorders>
              <w:top w:val="nil"/>
              <w:left w:val="nil"/>
              <w:bottom w:val="nil"/>
              <w:right w:val="nil"/>
            </w:tcBorders>
            <w:shd w:val="clear" w:color="auto" w:fill="auto"/>
            <w:noWrap/>
            <w:vAlign w:val="bottom"/>
          </w:tcPr>
          <w:p w14:paraId="58BE7EAA" w14:textId="77777777" w:rsidR="00FA65F8" w:rsidRPr="003C798E" w:rsidRDefault="00FA65F8" w:rsidP="00FC6081">
            <w:pPr>
              <w:rPr>
                <w:rFonts w:ascii="Arial" w:eastAsia="Times New Roman" w:hAnsi="Arial" w:cs="Arial"/>
                <w:sz w:val="20"/>
                <w:szCs w:val="20"/>
                <w:lang w:eastAsia="bg-BG"/>
              </w:rPr>
            </w:pPr>
          </w:p>
        </w:tc>
        <w:tc>
          <w:tcPr>
            <w:tcW w:w="520" w:type="dxa"/>
            <w:tcBorders>
              <w:top w:val="nil"/>
              <w:left w:val="nil"/>
              <w:bottom w:val="nil"/>
              <w:right w:val="nil"/>
            </w:tcBorders>
            <w:shd w:val="clear" w:color="auto" w:fill="auto"/>
            <w:noWrap/>
            <w:vAlign w:val="bottom"/>
          </w:tcPr>
          <w:p w14:paraId="1F0E2ECE" w14:textId="77777777" w:rsidR="00FA65F8" w:rsidRPr="003C798E" w:rsidRDefault="00FA65F8" w:rsidP="00FC6081">
            <w:pPr>
              <w:rPr>
                <w:rFonts w:ascii="Arial" w:eastAsia="Times New Roman" w:hAnsi="Arial" w:cs="Arial"/>
                <w:sz w:val="20"/>
                <w:szCs w:val="20"/>
                <w:lang w:eastAsia="bg-BG"/>
              </w:rPr>
            </w:pPr>
          </w:p>
        </w:tc>
        <w:tc>
          <w:tcPr>
            <w:tcW w:w="520" w:type="dxa"/>
            <w:tcBorders>
              <w:top w:val="nil"/>
              <w:left w:val="nil"/>
              <w:bottom w:val="nil"/>
              <w:right w:val="nil"/>
            </w:tcBorders>
            <w:shd w:val="clear" w:color="auto" w:fill="auto"/>
            <w:noWrap/>
            <w:vAlign w:val="bottom"/>
          </w:tcPr>
          <w:p w14:paraId="7E264FA7" w14:textId="77777777" w:rsidR="00FA65F8" w:rsidRPr="003C798E" w:rsidRDefault="00FA65F8" w:rsidP="00FC6081">
            <w:pPr>
              <w:rPr>
                <w:rFonts w:ascii="Arial" w:eastAsia="Times New Roman" w:hAnsi="Arial" w:cs="Arial"/>
                <w:sz w:val="20"/>
                <w:szCs w:val="20"/>
                <w:lang w:eastAsia="bg-BG"/>
              </w:rPr>
            </w:pPr>
          </w:p>
        </w:tc>
        <w:tc>
          <w:tcPr>
            <w:tcW w:w="520" w:type="dxa"/>
            <w:tcBorders>
              <w:top w:val="nil"/>
              <w:left w:val="nil"/>
              <w:bottom w:val="nil"/>
              <w:right w:val="nil"/>
            </w:tcBorders>
            <w:shd w:val="clear" w:color="auto" w:fill="auto"/>
            <w:noWrap/>
            <w:vAlign w:val="bottom"/>
          </w:tcPr>
          <w:p w14:paraId="1ECAAA10" w14:textId="77777777" w:rsidR="00FA65F8" w:rsidRPr="003C798E" w:rsidRDefault="00FA65F8" w:rsidP="00FC6081">
            <w:pPr>
              <w:rPr>
                <w:rFonts w:ascii="Arial" w:eastAsia="Times New Roman" w:hAnsi="Arial" w:cs="Arial"/>
                <w:sz w:val="20"/>
                <w:szCs w:val="20"/>
                <w:lang w:eastAsia="bg-BG"/>
              </w:rPr>
            </w:pPr>
          </w:p>
        </w:tc>
      </w:tr>
      <w:tr w:rsidR="00FA65F8" w:rsidRPr="003C798E" w14:paraId="73ADA42E" w14:textId="77777777" w:rsidTr="00FC6081">
        <w:trPr>
          <w:trHeight w:val="255"/>
        </w:trPr>
        <w:tc>
          <w:tcPr>
            <w:tcW w:w="1380" w:type="dxa"/>
            <w:tcBorders>
              <w:top w:val="nil"/>
              <w:left w:val="nil"/>
              <w:bottom w:val="nil"/>
              <w:right w:val="nil"/>
            </w:tcBorders>
            <w:shd w:val="clear" w:color="auto" w:fill="auto"/>
            <w:noWrap/>
            <w:vAlign w:val="bottom"/>
          </w:tcPr>
          <w:p w14:paraId="5291D908" w14:textId="77777777" w:rsidR="00FA65F8" w:rsidRPr="003C798E" w:rsidRDefault="00FA65F8" w:rsidP="00FC6081">
            <w:pPr>
              <w:rPr>
                <w:rFonts w:ascii="Arial" w:eastAsia="Times New Roman" w:hAnsi="Arial" w:cs="Arial"/>
                <w:sz w:val="20"/>
                <w:szCs w:val="20"/>
                <w:lang w:eastAsia="bg-BG"/>
              </w:rPr>
            </w:pPr>
          </w:p>
        </w:tc>
        <w:tc>
          <w:tcPr>
            <w:tcW w:w="500" w:type="dxa"/>
            <w:tcBorders>
              <w:top w:val="nil"/>
              <w:left w:val="nil"/>
              <w:bottom w:val="nil"/>
              <w:right w:val="nil"/>
            </w:tcBorders>
            <w:shd w:val="clear" w:color="auto" w:fill="008000"/>
            <w:noWrap/>
            <w:vAlign w:val="bottom"/>
          </w:tcPr>
          <w:p w14:paraId="403FFA2C" w14:textId="77777777" w:rsidR="00FA65F8" w:rsidRPr="003C798E" w:rsidRDefault="00FA65F8" w:rsidP="00FC6081">
            <w:pPr>
              <w:rPr>
                <w:rFonts w:ascii="Arial" w:eastAsia="Times New Roman" w:hAnsi="Arial" w:cs="Arial"/>
                <w:sz w:val="20"/>
                <w:szCs w:val="20"/>
                <w:lang w:eastAsia="bg-BG"/>
              </w:rPr>
            </w:pPr>
            <w:r w:rsidRPr="003C798E">
              <w:rPr>
                <w:rFonts w:ascii="Arial" w:eastAsia="Times New Roman" w:hAnsi="Arial" w:cs="Arial"/>
                <w:sz w:val="20"/>
                <w:szCs w:val="20"/>
                <w:lang w:eastAsia="bg-BG"/>
              </w:rPr>
              <w:t> </w:t>
            </w:r>
          </w:p>
        </w:tc>
        <w:tc>
          <w:tcPr>
            <w:tcW w:w="3580" w:type="dxa"/>
            <w:gridSpan w:val="7"/>
            <w:tcBorders>
              <w:top w:val="nil"/>
              <w:left w:val="nil"/>
              <w:bottom w:val="nil"/>
              <w:right w:val="nil"/>
            </w:tcBorders>
            <w:shd w:val="clear" w:color="auto" w:fill="auto"/>
            <w:noWrap/>
            <w:vAlign w:val="bottom"/>
          </w:tcPr>
          <w:p w14:paraId="716D43E5" w14:textId="77777777" w:rsidR="00FA65F8" w:rsidRPr="003C798E" w:rsidRDefault="00FA65F8" w:rsidP="00FC6081">
            <w:pPr>
              <w:rPr>
                <w:rFonts w:eastAsia="Times New Roman" w:cs="Arial"/>
                <w:b/>
                <w:bCs/>
                <w:i/>
                <w:iCs/>
                <w:sz w:val="18"/>
                <w:szCs w:val="18"/>
                <w:lang w:eastAsia="bg-BG"/>
              </w:rPr>
            </w:pPr>
            <w:r w:rsidRPr="003C798E">
              <w:rPr>
                <w:rFonts w:eastAsia="Times New Roman" w:cs="Arial"/>
                <w:b/>
                <w:bCs/>
                <w:i/>
                <w:iCs/>
                <w:sz w:val="18"/>
                <w:szCs w:val="18"/>
                <w:lang w:eastAsia="bg-BG"/>
              </w:rPr>
              <w:t>Леснопроходимо поле (нисък / без риск)</w:t>
            </w:r>
          </w:p>
        </w:tc>
        <w:tc>
          <w:tcPr>
            <w:tcW w:w="500" w:type="dxa"/>
            <w:tcBorders>
              <w:top w:val="nil"/>
              <w:left w:val="nil"/>
              <w:bottom w:val="nil"/>
              <w:right w:val="nil"/>
            </w:tcBorders>
            <w:shd w:val="clear" w:color="auto" w:fill="auto"/>
            <w:noWrap/>
            <w:vAlign w:val="bottom"/>
          </w:tcPr>
          <w:p w14:paraId="07D2A733" w14:textId="77777777" w:rsidR="00FA65F8" w:rsidRPr="003C798E" w:rsidRDefault="00FA65F8" w:rsidP="00FC6081">
            <w:pPr>
              <w:rPr>
                <w:rFonts w:ascii="Arial" w:eastAsia="Times New Roman" w:hAnsi="Arial" w:cs="Arial"/>
                <w:sz w:val="20"/>
                <w:szCs w:val="20"/>
                <w:lang w:eastAsia="bg-BG"/>
              </w:rPr>
            </w:pPr>
          </w:p>
        </w:tc>
        <w:tc>
          <w:tcPr>
            <w:tcW w:w="500" w:type="dxa"/>
            <w:tcBorders>
              <w:top w:val="nil"/>
              <w:left w:val="nil"/>
              <w:bottom w:val="nil"/>
              <w:right w:val="nil"/>
            </w:tcBorders>
            <w:shd w:val="clear" w:color="auto" w:fill="auto"/>
            <w:noWrap/>
            <w:vAlign w:val="bottom"/>
          </w:tcPr>
          <w:p w14:paraId="3764FE82" w14:textId="77777777" w:rsidR="00FA65F8" w:rsidRPr="003C798E" w:rsidRDefault="00FA65F8" w:rsidP="00FC6081">
            <w:pPr>
              <w:rPr>
                <w:rFonts w:ascii="Arial" w:eastAsia="Times New Roman" w:hAnsi="Arial" w:cs="Arial"/>
                <w:sz w:val="20"/>
                <w:szCs w:val="20"/>
                <w:lang w:eastAsia="bg-BG"/>
              </w:rPr>
            </w:pPr>
          </w:p>
        </w:tc>
        <w:tc>
          <w:tcPr>
            <w:tcW w:w="500" w:type="dxa"/>
            <w:tcBorders>
              <w:top w:val="nil"/>
              <w:left w:val="nil"/>
              <w:bottom w:val="nil"/>
              <w:right w:val="nil"/>
            </w:tcBorders>
            <w:shd w:val="clear" w:color="auto" w:fill="auto"/>
            <w:noWrap/>
            <w:vAlign w:val="bottom"/>
          </w:tcPr>
          <w:p w14:paraId="388496CC" w14:textId="77777777" w:rsidR="00FA65F8" w:rsidRPr="003C798E" w:rsidRDefault="00FA65F8" w:rsidP="00FC6081">
            <w:pPr>
              <w:rPr>
                <w:rFonts w:ascii="Arial" w:eastAsia="Times New Roman" w:hAnsi="Arial" w:cs="Arial"/>
                <w:sz w:val="20"/>
                <w:szCs w:val="20"/>
                <w:lang w:eastAsia="bg-BG"/>
              </w:rPr>
            </w:pPr>
          </w:p>
        </w:tc>
        <w:tc>
          <w:tcPr>
            <w:tcW w:w="500" w:type="dxa"/>
            <w:tcBorders>
              <w:top w:val="nil"/>
              <w:left w:val="nil"/>
              <w:bottom w:val="nil"/>
              <w:right w:val="nil"/>
            </w:tcBorders>
            <w:shd w:val="clear" w:color="auto" w:fill="auto"/>
            <w:noWrap/>
            <w:vAlign w:val="bottom"/>
          </w:tcPr>
          <w:p w14:paraId="5199D438" w14:textId="77777777" w:rsidR="00FA65F8" w:rsidRPr="003C798E" w:rsidRDefault="00FA65F8" w:rsidP="00FC6081">
            <w:pPr>
              <w:rPr>
                <w:rFonts w:ascii="Arial" w:eastAsia="Times New Roman" w:hAnsi="Arial" w:cs="Arial"/>
                <w:sz w:val="20"/>
                <w:szCs w:val="20"/>
                <w:lang w:eastAsia="bg-BG"/>
              </w:rPr>
            </w:pPr>
          </w:p>
        </w:tc>
        <w:tc>
          <w:tcPr>
            <w:tcW w:w="500" w:type="dxa"/>
            <w:tcBorders>
              <w:top w:val="nil"/>
              <w:left w:val="nil"/>
              <w:bottom w:val="nil"/>
              <w:right w:val="nil"/>
            </w:tcBorders>
            <w:shd w:val="clear" w:color="auto" w:fill="auto"/>
            <w:noWrap/>
            <w:vAlign w:val="bottom"/>
          </w:tcPr>
          <w:p w14:paraId="156F4675" w14:textId="77777777" w:rsidR="00FA65F8" w:rsidRPr="003C798E" w:rsidRDefault="00FA65F8" w:rsidP="00FC6081">
            <w:pPr>
              <w:rPr>
                <w:rFonts w:ascii="Arial" w:eastAsia="Times New Roman" w:hAnsi="Arial" w:cs="Arial"/>
                <w:sz w:val="20"/>
                <w:szCs w:val="20"/>
                <w:lang w:eastAsia="bg-BG"/>
              </w:rPr>
            </w:pPr>
          </w:p>
        </w:tc>
        <w:tc>
          <w:tcPr>
            <w:tcW w:w="500" w:type="dxa"/>
            <w:tcBorders>
              <w:top w:val="nil"/>
              <w:left w:val="nil"/>
              <w:bottom w:val="nil"/>
              <w:right w:val="nil"/>
            </w:tcBorders>
            <w:shd w:val="clear" w:color="auto" w:fill="auto"/>
            <w:noWrap/>
            <w:vAlign w:val="bottom"/>
          </w:tcPr>
          <w:p w14:paraId="68EEAF5F" w14:textId="77777777" w:rsidR="00FA65F8" w:rsidRPr="003C798E" w:rsidRDefault="00FA65F8" w:rsidP="00FC6081">
            <w:pPr>
              <w:rPr>
                <w:rFonts w:ascii="Arial" w:eastAsia="Times New Roman" w:hAnsi="Arial" w:cs="Arial"/>
                <w:sz w:val="20"/>
                <w:szCs w:val="20"/>
                <w:lang w:eastAsia="bg-BG"/>
              </w:rPr>
            </w:pPr>
          </w:p>
        </w:tc>
        <w:tc>
          <w:tcPr>
            <w:tcW w:w="520" w:type="dxa"/>
            <w:tcBorders>
              <w:top w:val="nil"/>
              <w:left w:val="nil"/>
              <w:bottom w:val="nil"/>
              <w:right w:val="nil"/>
            </w:tcBorders>
            <w:shd w:val="clear" w:color="auto" w:fill="auto"/>
            <w:noWrap/>
            <w:vAlign w:val="bottom"/>
          </w:tcPr>
          <w:p w14:paraId="27CACA8C" w14:textId="77777777" w:rsidR="00FA65F8" w:rsidRPr="003C798E" w:rsidRDefault="00FA65F8" w:rsidP="00FC6081">
            <w:pPr>
              <w:rPr>
                <w:rFonts w:ascii="Arial" w:eastAsia="Times New Roman" w:hAnsi="Arial" w:cs="Arial"/>
                <w:sz w:val="20"/>
                <w:szCs w:val="20"/>
                <w:lang w:eastAsia="bg-BG"/>
              </w:rPr>
            </w:pPr>
          </w:p>
        </w:tc>
        <w:tc>
          <w:tcPr>
            <w:tcW w:w="520" w:type="dxa"/>
            <w:tcBorders>
              <w:top w:val="nil"/>
              <w:left w:val="nil"/>
              <w:bottom w:val="nil"/>
              <w:right w:val="nil"/>
            </w:tcBorders>
            <w:shd w:val="clear" w:color="auto" w:fill="auto"/>
            <w:noWrap/>
            <w:vAlign w:val="bottom"/>
          </w:tcPr>
          <w:p w14:paraId="29C91A14" w14:textId="77777777" w:rsidR="00FA65F8" w:rsidRPr="003C798E" w:rsidRDefault="00FA65F8" w:rsidP="00FC6081">
            <w:pPr>
              <w:rPr>
                <w:rFonts w:ascii="Arial" w:eastAsia="Times New Roman" w:hAnsi="Arial" w:cs="Arial"/>
                <w:sz w:val="20"/>
                <w:szCs w:val="20"/>
                <w:lang w:eastAsia="bg-BG"/>
              </w:rPr>
            </w:pPr>
          </w:p>
        </w:tc>
        <w:tc>
          <w:tcPr>
            <w:tcW w:w="520" w:type="dxa"/>
            <w:tcBorders>
              <w:top w:val="nil"/>
              <w:left w:val="nil"/>
              <w:bottom w:val="nil"/>
              <w:right w:val="nil"/>
            </w:tcBorders>
            <w:shd w:val="clear" w:color="auto" w:fill="auto"/>
            <w:noWrap/>
            <w:vAlign w:val="bottom"/>
          </w:tcPr>
          <w:p w14:paraId="22FA341B" w14:textId="77777777" w:rsidR="00FA65F8" w:rsidRPr="003C798E" w:rsidRDefault="00FA65F8" w:rsidP="00FC6081">
            <w:pPr>
              <w:rPr>
                <w:rFonts w:ascii="Arial" w:eastAsia="Times New Roman" w:hAnsi="Arial" w:cs="Arial"/>
                <w:sz w:val="20"/>
                <w:szCs w:val="20"/>
                <w:lang w:eastAsia="bg-BG"/>
              </w:rPr>
            </w:pPr>
          </w:p>
        </w:tc>
      </w:tr>
    </w:tbl>
    <w:p w14:paraId="678077A3" w14:textId="0F8D3E67" w:rsidR="00FA65F8" w:rsidRDefault="00FA65F8" w:rsidP="00FA65F8">
      <w:pPr>
        <w:jc w:val="center"/>
        <w:rPr>
          <w:b/>
          <w:i/>
          <w:color w:val="E36C0A"/>
          <w:lang w:val="ru-RU"/>
        </w:rPr>
      </w:pPr>
    </w:p>
    <w:p w14:paraId="389FB735" w14:textId="62443229" w:rsidR="00C74984" w:rsidRDefault="00C74984" w:rsidP="00FA65F8">
      <w:pPr>
        <w:jc w:val="center"/>
        <w:rPr>
          <w:b/>
          <w:i/>
          <w:color w:val="E36C0A"/>
          <w:lang w:val="ru-RU"/>
        </w:rPr>
      </w:pPr>
    </w:p>
    <w:p w14:paraId="6D453ACA" w14:textId="13ED46CE" w:rsidR="00C74984" w:rsidRDefault="00C74984" w:rsidP="00FA65F8">
      <w:pPr>
        <w:jc w:val="center"/>
        <w:rPr>
          <w:b/>
          <w:i/>
          <w:color w:val="E36C0A"/>
          <w:lang w:val="ru-RU"/>
        </w:rPr>
      </w:pPr>
    </w:p>
    <w:p w14:paraId="10C20436" w14:textId="77777777" w:rsidR="00C74984" w:rsidRDefault="00C74984" w:rsidP="00FA65F8">
      <w:pPr>
        <w:jc w:val="center"/>
        <w:rPr>
          <w:b/>
          <w:i/>
          <w:color w:val="E36C0A"/>
          <w:lang w:val="ru-RU"/>
        </w:rPr>
      </w:pPr>
    </w:p>
    <w:p w14:paraId="4A42BF28" w14:textId="77777777" w:rsidR="00504F83" w:rsidRPr="00316233" w:rsidRDefault="0074615C" w:rsidP="002228B1">
      <w:pPr>
        <w:pStyle w:val="NoSpacing"/>
        <w:shd w:val="clear" w:color="auto" w:fill="E36C0A"/>
        <w:autoSpaceDE w:val="0"/>
        <w:autoSpaceDN w:val="0"/>
        <w:adjustRightInd w:val="0"/>
        <w:jc w:val="both"/>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pPr>
      <w:r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III. </w:t>
      </w:r>
      <w:r w:rsidR="00FC53D3"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АНАЛИЗ на </w:t>
      </w:r>
      <w:r w:rsidR="00504F83"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ФИНАНСОВ</w:t>
      </w:r>
      <w:r w:rsidR="00B13ED1"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И</w:t>
      </w:r>
      <w:r w:rsidR="00504F83"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 и НЕФИНАНСОВИ </w:t>
      </w:r>
      <w:r w:rsidR="00504F83"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ПОКАЗАТЕЛИ</w:t>
      </w:r>
      <w:r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00C222B8"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съгл. </w:t>
      </w:r>
      <w:r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чл. 39, т. 2 от ЗС)</w:t>
      </w:r>
    </w:p>
    <w:p w14:paraId="7DAC32D3" w14:textId="77777777" w:rsidR="00504F83" w:rsidRDefault="00504F83" w:rsidP="00504F83">
      <w:pPr>
        <w:tabs>
          <w:tab w:val="left" w:pos="180"/>
        </w:tabs>
        <w:ind w:left="180" w:right="114"/>
        <w:jc w:val="both"/>
      </w:pPr>
    </w:p>
    <w:p w14:paraId="5226CBED" w14:textId="77777777" w:rsidR="008D397F" w:rsidRPr="00094E9A" w:rsidRDefault="008D397F" w:rsidP="002228B1">
      <w:pPr>
        <w:numPr>
          <w:ilvl w:val="0"/>
          <w:numId w:val="22"/>
        </w:numPr>
        <w:tabs>
          <w:tab w:val="left" w:pos="426"/>
        </w:tabs>
        <w:ind w:hanging="4973"/>
        <w:jc w:val="both"/>
        <w:rPr>
          <w:b/>
          <w:color w:val="E36C0A"/>
        </w:rPr>
      </w:pPr>
      <w:r w:rsidRPr="00094E9A">
        <w:rPr>
          <w:b/>
          <w:color w:val="E36C0A"/>
        </w:rPr>
        <w:t>Финансови показатели</w:t>
      </w:r>
    </w:p>
    <w:p w14:paraId="356A25EE" w14:textId="77777777" w:rsidR="008D397F" w:rsidRDefault="008D397F" w:rsidP="008D397F">
      <w:pPr>
        <w:jc w:val="both"/>
      </w:pPr>
    </w:p>
    <w:p w14:paraId="443DE557" w14:textId="267C445B" w:rsidR="00F609E0" w:rsidRDefault="00504F83" w:rsidP="008D397F">
      <w:pPr>
        <w:jc w:val="both"/>
      </w:pPr>
      <w:r w:rsidRPr="00FD3526">
        <w:t xml:space="preserve">Постигнатите от дружеството </w:t>
      </w:r>
      <w:r w:rsidR="008D397F">
        <w:rPr>
          <w:b/>
        </w:rPr>
        <w:t>финансови показатели</w:t>
      </w:r>
      <w:r w:rsidR="00EF107A">
        <w:t xml:space="preserve"> за </w:t>
      </w:r>
      <w:r w:rsidR="00487716">
        <w:t>2021</w:t>
      </w:r>
      <w:r w:rsidRPr="00FD3526">
        <w:t xml:space="preserve"> г. спрямо </w:t>
      </w:r>
      <w:r w:rsidR="00487716">
        <w:t>2020</w:t>
      </w:r>
      <w:r w:rsidRPr="00FD3526">
        <w:t xml:space="preserve"> г. са както следва:</w:t>
      </w:r>
    </w:p>
    <w:tbl>
      <w:tblPr>
        <w:tblW w:w="9924" w:type="dxa"/>
        <w:tblInd w:w="-426" w:type="dxa"/>
        <w:tblLook w:val="04A0" w:firstRow="1" w:lastRow="0" w:firstColumn="1" w:lastColumn="0" w:noHBand="0" w:noVBand="1"/>
      </w:tblPr>
      <w:tblGrid>
        <w:gridCol w:w="706"/>
        <w:gridCol w:w="5449"/>
        <w:gridCol w:w="830"/>
        <w:gridCol w:w="830"/>
        <w:gridCol w:w="975"/>
        <w:gridCol w:w="938"/>
        <w:gridCol w:w="222"/>
      </w:tblGrid>
      <w:tr w:rsidR="005950B3" w:rsidRPr="005950B3" w14:paraId="58CFA0F6" w14:textId="77777777" w:rsidTr="005950B3">
        <w:trPr>
          <w:gridAfter w:val="1"/>
          <w:wAfter w:w="222" w:type="dxa"/>
          <w:trHeight w:val="300"/>
        </w:trPr>
        <w:tc>
          <w:tcPr>
            <w:tcW w:w="9702" w:type="dxa"/>
            <w:gridSpan w:val="6"/>
            <w:tcBorders>
              <w:top w:val="nil"/>
              <w:left w:val="nil"/>
              <w:bottom w:val="nil"/>
              <w:right w:val="nil"/>
            </w:tcBorders>
            <w:shd w:val="clear" w:color="auto" w:fill="auto"/>
            <w:noWrap/>
            <w:vAlign w:val="bottom"/>
            <w:hideMark/>
          </w:tcPr>
          <w:p w14:paraId="345916E2" w14:textId="77777777" w:rsidR="005950B3" w:rsidRPr="005950B3" w:rsidRDefault="005950B3" w:rsidP="005950B3">
            <w:pPr>
              <w:jc w:val="right"/>
              <w:rPr>
                <w:rFonts w:eastAsia="Times New Roman" w:cs="Calibri"/>
                <w:b/>
                <w:bCs/>
                <w:i/>
                <w:iCs/>
                <w:sz w:val="20"/>
                <w:szCs w:val="20"/>
                <w:lang w:val="en-US"/>
              </w:rPr>
            </w:pPr>
            <w:r w:rsidRPr="005950B3">
              <w:rPr>
                <w:rFonts w:eastAsia="Times New Roman" w:cs="Calibri"/>
                <w:b/>
                <w:bCs/>
                <w:i/>
                <w:iCs/>
                <w:sz w:val="20"/>
                <w:szCs w:val="20"/>
                <w:lang w:val="en-US"/>
              </w:rPr>
              <w:t>(хил.лв.)</w:t>
            </w:r>
          </w:p>
        </w:tc>
      </w:tr>
      <w:tr w:rsidR="005950B3" w:rsidRPr="005950B3" w14:paraId="0F755168" w14:textId="77777777" w:rsidTr="005950B3">
        <w:trPr>
          <w:gridAfter w:val="1"/>
          <w:wAfter w:w="222" w:type="dxa"/>
          <w:trHeight w:val="244"/>
        </w:trPr>
        <w:tc>
          <w:tcPr>
            <w:tcW w:w="706" w:type="dxa"/>
            <w:vMerge w:val="restart"/>
            <w:tcBorders>
              <w:top w:val="double" w:sz="6" w:space="0" w:color="E26B0A"/>
              <w:left w:val="double" w:sz="6" w:space="0" w:color="E26B0A"/>
              <w:bottom w:val="double" w:sz="6" w:space="0" w:color="E26B0A"/>
              <w:right w:val="double" w:sz="6" w:space="0" w:color="E26B0A"/>
            </w:tcBorders>
            <w:shd w:val="clear" w:color="000000" w:fill="E26B0A"/>
            <w:noWrap/>
            <w:vAlign w:val="center"/>
            <w:hideMark/>
          </w:tcPr>
          <w:p w14:paraId="305ED46F" w14:textId="77777777" w:rsidR="005950B3" w:rsidRPr="005950B3" w:rsidRDefault="005950B3" w:rsidP="005950B3">
            <w:pPr>
              <w:jc w:val="center"/>
              <w:rPr>
                <w:rFonts w:eastAsia="Times New Roman" w:cs="Calibri"/>
                <w:b/>
                <w:bCs/>
                <w:color w:val="FFFFFF"/>
                <w:sz w:val="20"/>
                <w:szCs w:val="20"/>
                <w:lang w:val="en-US"/>
              </w:rPr>
            </w:pPr>
            <w:r w:rsidRPr="005950B3">
              <w:rPr>
                <w:rFonts w:eastAsia="Times New Roman" w:cs="Calibri"/>
                <w:b/>
                <w:bCs/>
                <w:color w:val="FFFFFF"/>
                <w:sz w:val="20"/>
                <w:szCs w:val="20"/>
                <w:lang w:val="en-US"/>
              </w:rPr>
              <w:t>N:</w:t>
            </w:r>
          </w:p>
        </w:tc>
        <w:tc>
          <w:tcPr>
            <w:tcW w:w="5449" w:type="dxa"/>
            <w:vMerge w:val="restart"/>
            <w:tcBorders>
              <w:top w:val="double" w:sz="6" w:space="0" w:color="E26B0A"/>
              <w:left w:val="double" w:sz="6" w:space="0" w:color="E26B0A"/>
              <w:bottom w:val="double" w:sz="6" w:space="0" w:color="E26B0A"/>
              <w:right w:val="double" w:sz="6" w:space="0" w:color="E26B0A"/>
            </w:tcBorders>
            <w:shd w:val="clear" w:color="000000" w:fill="E26B0A"/>
            <w:noWrap/>
            <w:vAlign w:val="center"/>
            <w:hideMark/>
          </w:tcPr>
          <w:p w14:paraId="410882B6" w14:textId="77777777" w:rsidR="005950B3" w:rsidRPr="005950B3" w:rsidRDefault="005950B3" w:rsidP="005950B3">
            <w:pPr>
              <w:jc w:val="center"/>
              <w:rPr>
                <w:rFonts w:eastAsia="Times New Roman" w:cs="Calibri"/>
                <w:b/>
                <w:bCs/>
                <w:color w:val="FFFFFF"/>
                <w:sz w:val="20"/>
                <w:szCs w:val="20"/>
                <w:lang w:val="en-US"/>
              </w:rPr>
            </w:pPr>
            <w:r w:rsidRPr="005950B3">
              <w:rPr>
                <w:rFonts w:eastAsia="Times New Roman" w:cs="Calibri"/>
                <w:b/>
                <w:bCs/>
                <w:color w:val="FFFFFF"/>
                <w:sz w:val="20"/>
                <w:szCs w:val="20"/>
                <w:lang w:val="en-US"/>
              </w:rPr>
              <w:t>Показатели:</w:t>
            </w:r>
          </w:p>
        </w:tc>
        <w:tc>
          <w:tcPr>
            <w:tcW w:w="824" w:type="dxa"/>
            <w:vMerge w:val="restart"/>
            <w:tcBorders>
              <w:top w:val="double" w:sz="6" w:space="0" w:color="E26B0A"/>
              <w:left w:val="double" w:sz="6" w:space="0" w:color="E26B0A"/>
              <w:bottom w:val="double" w:sz="6" w:space="0" w:color="E26B0A"/>
              <w:right w:val="double" w:sz="6" w:space="0" w:color="E26B0A"/>
            </w:tcBorders>
            <w:shd w:val="clear" w:color="000000" w:fill="E26B0A"/>
            <w:vAlign w:val="center"/>
            <w:hideMark/>
          </w:tcPr>
          <w:p w14:paraId="7E8B5887" w14:textId="77777777" w:rsidR="005950B3" w:rsidRPr="005950B3" w:rsidRDefault="005950B3" w:rsidP="005950B3">
            <w:pPr>
              <w:jc w:val="center"/>
              <w:rPr>
                <w:rFonts w:eastAsia="Times New Roman" w:cs="Calibri"/>
                <w:b/>
                <w:bCs/>
                <w:color w:val="FFFFFF"/>
                <w:sz w:val="20"/>
                <w:szCs w:val="20"/>
                <w:lang w:val="en-US"/>
              </w:rPr>
            </w:pPr>
            <w:r w:rsidRPr="005950B3">
              <w:rPr>
                <w:rFonts w:eastAsia="Times New Roman" w:cs="Calibri"/>
                <w:b/>
                <w:bCs/>
                <w:color w:val="FFFFFF"/>
                <w:sz w:val="20"/>
                <w:szCs w:val="20"/>
                <w:lang w:val="en-US"/>
              </w:rPr>
              <w:t>2021</w:t>
            </w:r>
          </w:p>
        </w:tc>
        <w:tc>
          <w:tcPr>
            <w:tcW w:w="824" w:type="dxa"/>
            <w:vMerge w:val="restart"/>
            <w:tcBorders>
              <w:top w:val="double" w:sz="6" w:space="0" w:color="E26B0A"/>
              <w:left w:val="double" w:sz="6" w:space="0" w:color="E26B0A"/>
              <w:bottom w:val="double" w:sz="6" w:space="0" w:color="E26B0A"/>
              <w:right w:val="double" w:sz="6" w:space="0" w:color="E26B0A"/>
            </w:tcBorders>
            <w:shd w:val="clear" w:color="000000" w:fill="E26B0A"/>
            <w:vAlign w:val="center"/>
            <w:hideMark/>
          </w:tcPr>
          <w:p w14:paraId="42D04022" w14:textId="77777777" w:rsidR="005950B3" w:rsidRPr="005950B3" w:rsidRDefault="005950B3" w:rsidP="005950B3">
            <w:pPr>
              <w:jc w:val="center"/>
              <w:rPr>
                <w:rFonts w:eastAsia="Times New Roman" w:cs="Calibri"/>
                <w:b/>
                <w:bCs/>
                <w:color w:val="FFFFFF"/>
                <w:sz w:val="20"/>
                <w:szCs w:val="20"/>
                <w:lang w:val="en-US"/>
              </w:rPr>
            </w:pPr>
            <w:r w:rsidRPr="005950B3">
              <w:rPr>
                <w:rFonts w:eastAsia="Times New Roman" w:cs="Calibri"/>
                <w:b/>
                <w:bCs/>
                <w:color w:val="FFFFFF"/>
                <w:sz w:val="20"/>
                <w:szCs w:val="20"/>
                <w:lang w:val="en-US"/>
              </w:rPr>
              <w:t>2020</w:t>
            </w:r>
          </w:p>
        </w:tc>
        <w:tc>
          <w:tcPr>
            <w:tcW w:w="1899" w:type="dxa"/>
            <w:gridSpan w:val="2"/>
            <w:vMerge w:val="restart"/>
            <w:tcBorders>
              <w:top w:val="double" w:sz="6" w:space="0" w:color="E26B0A"/>
              <w:left w:val="double" w:sz="6" w:space="0" w:color="E26B0A"/>
              <w:bottom w:val="double" w:sz="6" w:space="0" w:color="E26B0A"/>
              <w:right w:val="double" w:sz="6" w:space="0" w:color="E26B0A"/>
            </w:tcBorders>
            <w:shd w:val="clear" w:color="000000" w:fill="E26B0A"/>
            <w:vAlign w:val="center"/>
            <w:hideMark/>
          </w:tcPr>
          <w:p w14:paraId="4A393364" w14:textId="77777777" w:rsidR="005950B3" w:rsidRPr="005950B3" w:rsidRDefault="005950B3" w:rsidP="005950B3">
            <w:pPr>
              <w:jc w:val="center"/>
              <w:rPr>
                <w:rFonts w:eastAsia="Times New Roman" w:cs="Calibri"/>
                <w:b/>
                <w:bCs/>
                <w:color w:val="FFFFFF"/>
                <w:sz w:val="20"/>
                <w:szCs w:val="20"/>
                <w:lang w:val="en-US"/>
              </w:rPr>
            </w:pPr>
            <w:r w:rsidRPr="005950B3">
              <w:rPr>
                <w:rFonts w:eastAsia="Times New Roman" w:cs="Calibri"/>
                <w:b/>
                <w:bCs/>
                <w:color w:val="FFFFFF"/>
                <w:sz w:val="20"/>
                <w:szCs w:val="20"/>
                <w:lang w:val="en-US"/>
              </w:rPr>
              <w:t>2021/2020</w:t>
            </w:r>
          </w:p>
        </w:tc>
      </w:tr>
      <w:tr w:rsidR="005950B3" w:rsidRPr="005950B3" w14:paraId="46340A02" w14:textId="77777777" w:rsidTr="005950B3">
        <w:trPr>
          <w:trHeight w:val="225"/>
        </w:trPr>
        <w:tc>
          <w:tcPr>
            <w:tcW w:w="706" w:type="dxa"/>
            <w:vMerge/>
            <w:tcBorders>
              <w:top w:val="double" w:sz="6" w:space="0" w:color="E26B0A"/>
              <w:left w:val="double" w:sz="6" w:space="0" w:color="E26B0A"/>
              <w:bottom w:val="double" w:sz="6" w:space="0" w:color="E26B0A"/>
              <w:right w:val="double" w:sz="6" w:space="0" w:color="E26B0A"/>
            </w:tcBorders>
            <w:vAlign w:val="center"/>
            <w:hideMark/>
          </w:tcPr>
          <w:p w14:paraId="22C0C099" w14:textId="77777777" w:rsidR="005950B3" w:rsidRPr="005950B3" w:rsidRDefault="005950B3" w:rsidP="005950B3">
            <w:pPr>
              <w:rPr>
                <w:rFonts w:eastAsia="Times New Roman" w:cs="Calibri"/>
                <w:b/>
                <w:bCs/>
                <w:color w:val="FFFFFF"/>
                <w:sz w:val="20"/>
                <w:szCs w:val="20"/>
                <w:lang w:val="en-US"/>
              </w:rPr>
            </w:pPr>
          </w:p>
        </w:tc>
        <w:tc>
          <w:tcPr>
            <w:tcW w:w="5449" w:type="dxa"/>
            <w:vMerge/>
            <w:tcBorders>
              <w:top w:val="double" w:sz="6" w:space="0" w:color="E26B0A"/>
              <w:left w:val="double" w:sz="6" w:space="0" w:color="E26B0A"/>
              <w:bottom w:val="double" w:sz="6" w:space="0" w:color="E26B0A"/>
              <w:right w:val="double" w:sz="6" w:space="0" w:color="E26B0A"/>
            </w:tcBorders>
            <w:vAlign w:val="center"/>
            <w:hideMark/>
          </w:tcPr>
          <w:p w14:paraId="57A981CD" w14:textId="77777777" w:rsidR="005950B3" w:rsidRPr="005950B3" w:rsidRDefault="005950B3" w:rsidP="005950B3">
            <w:pPr>
              <w:rPr>
                <w:rFonts w:eastAsia="Times New Roman" w:cs="Calibri"/>
                <w:b/>
                <w:bCs/>
                <w:color w:val="FFFFFF"/>
                <w:sz w:val="20"/>
                <w:szCs w:val="20"/>
                <w:lang w:val="en-US"/>
              </w:rPr>
            </w:pPr>
          </w:p>
        </w:tc>
        <w:tc>
          <w:tcPr>
            <w:tcW w:w="824" w:type="dxa"/>
            <w:vMerge/>
            <w:tcBorders>
              <w:top w:val="double" w:sz="6" w:space="0" w:color="E26B0A"/>
              <w:left w:val="double" w:sz="6" w:space="0" w:color="E26B0A"/>
              <w:bottom w:val="double" w:sz="6" w:space="0" w:color="E26B0A"/>
              <w:right w:val="double" w:sz="6" w:space="0" w:color="E26B0A"/>
            </w:tcBorders>
            <w:vAlign w:val="center"/>
            <w:hideMark/>
          </w:tcPr>
          <w:p w14:paraId="1CE5759C" w14:textId="77777777" w:rsidR="005950B3" w:rsidRPr="005950B3" w:rsidRDefault="005950B3" w:rsidP="005950B3">
            <w:pPr>
              <w:rPr>
                <w:rFonts w:eastAsia="Times New Roman" w:cs="Calibri"/>
                <w:b/>
                <w:bCs/>
                <w:color w:val="FFFFFF"/>
                <w:sz w:val="20"/>
                <w:szCs w:val="20"/>
                <w:lang w:val="en-US"/>
              </w:rPr>
            </w:pPr>
          </w:p>
        </w:tc>
        <w:tc>
          <w:tcPr>
            <w:tcW w:w="824" w:type="dxa"/>
            <w:vMerge/>
            <w:tcBorders>
              <w:top w:val="double" w:sz="6" w:space="0" w:color="E26B0A"/>
              <w:left w:val="double" w:sz="6" w:space="0" w:color="E26B0A"/>
              <w:bottom w:val="double" w:sz="6" w:space="0" w:color="E26B0A"/>
              <w:right w:val="double" w:sz="6" w:space="0" w:color="E26B0A"/>
            </w:tcBorders>
            <w:vAlign w:val="center"/>
            <w:hideMark/>
          </w:tcPr>
          <w:p w14:paraId="29DD96DF" w14:textId="77777777" w:rsidR="005950B3" w:rsidRPr="005950B3" w:rsidRDefault="005950B3" w:rsidP="005950B3">
            <w:pPr>
              <w:rPr>
                <w:rFonts w:eastAsia="Times New Roman" w:cs="Calibri"/>
                <w:b/>
                <w:bCs/>
                <w:color w:val="FFFFFF"/>
                <w:sz w:val="20"/>
                <w:szCs w:val="20"/>
                <w:lang w:val="en-US"/>
              </w:rPr>
            </w:pPr>
          </w:p>
        </w:tc>
        <w:tc>
          <w:tcPr>
            <w:tcW w:w="1899" w:type="dxa"/>
            <w:gridSpan w:val="2"/>
            <w:vMerge/>
            <w:tcBorders>
              <w:top w:val="double" w:sz="6" w:space="0" w:color="E26B0A"/>
              <w:left w:val="double" w:sz="6" w:space="0" w:color="E26B0A"/>
              <w:bottom w:val="double" w:sz="6" w:space="0" w:color="E26B0A"/>
              <w:right w:val="double" w:sz="6" w:space="0" w:color="E26B0A"/>
            </w:tcBorders>
            <w:vAlign w:val="center"/>
            <w:hideMark/>
          </w:tcPr>
          <w:p w14:paraId="34F1C181" w14:textId="77777777" w:rsidR="005950B3" w:rsidRPr="005950B3" w:rsidRDefault="005950B3" w:rsidP="005950B3">
            <w:pPr>
              <w:rPr>
                <w:rFonts w:eastAsia="Times New Roman" w:cs="Calibri"/>
                <w:b/>
                <w:bCs/>
                <w:color w:val="FFFFFF"/>
                <w:sz w:val="20"/>
                <w:szCs w:val="20"/>
                <w:lang w:val="en-US"/>
              </w:rPr>
            </w:pPr>
          </w:p>
        </w:tc>
        <w:tc>
          <w:tcPr>
            <w:tcW w:w="222" w:type="dxa"/>
            <w:tcBorders>
              <w:top w:val="nil"/>
              <w:left w:val="nil"/>
              <w:bottom w:val="nil"/>
              <w:right w:val="nil"/>
            </w:tcBorders>
            <w:shd w:val="clear" w:color="auto" w:fill="auto"/>
            <w:noWrap/>
            <w:vAlign w:val="bottom"/>
            <w:hideMark/>
          </w:tcPr>
          <w:p w14:paraId="39993932" w14:textId="77777777" w:rsidR="005950B3" w:rsidRPr="005950B3" w:rsidRDefault="005950B3" w:rsidP="005950B3">
            <w:pPr>
              <w:jc w:val="center"/>
              <w:rPr>
                <w:rFonts w:eastAsia="Times New Roman" w:cs="Calibri"/>
                <w:b/>
                <w:bCs/>
                <w:color w:val="FFFFFF"/>
                <w:sz w:val="20"/>
                <w:szCs w:val="20"/>
                <w:lang w:val="en-US"/>
              </w:rPr>
            </w:pPr>
          </w:p>
        </w:tc>
      </w:tr>
      <w:tr w:rsidR="005950B3" w:rsidRPr="005950B3" w14:paraId="5594E224" w14:textId="77777777" w:rsidTr="005950B3">
        <w:trPr>
          <w:trHeight w:val="270"/>
        </w:trPr>
        <w:tc>
          <w:tcPr>
            <w:tcW w:w="706" w:type="dxa"/>
            <w:vMerge/>
            <w:tcBorders>
              <w:top w:val="double" w:sz="6" w:space="0" w:color="E26B0A"/>
              <w:left w:val="double" w:sz="6" w:space="0" w:color="E26B0A"/>
              <w:bottom w:val="double" w:sz="6" w:space="0" w:color="E26B0A"/>
              <w:right w:val="double" w:sz="6" w:space="0" w:color="E26B0A"/>
            </w:tcBorders>
            <w:vAlign w:val="center"/>
            <w:hideMark/>
          </w:tcPr>
          <w:p w14:paraId="5570B635" w14:textId="77777777" w:rsidR="005950B3" w:rsidRPr="005950B3" w:rsidRDefault="005950B3" w:rsidP="005950B3">
            <w:pPr>
              <w:rPr>
                <w:rFonts w:eastAsia="Times New Roman" w:cs="Calibri"/>
                <w:b/>
                <w:bCs/>
                <w:color w:val="FFFFFF"/>
                <w:sz w:val="20"/>
                <w:szCs w:val="20"/>
                <w:lang w:val="en-US"/>
              </w:rPr>
            </w:pPr>
          </w:p>
        </w:tc>
        <w:tc>
          <w:tcPr>
            <w:tcW w:w="5449" w:type="dxa"/>
            <w:vMerge/>
            <w:tcBorders>
              <w:top w:val="double" w:sz="6" w:space="0" w:color="E26B0A"/>
              <w:left w:val="double" w:sz="6" w:space="0" w:color="E26B0A"/>
              <w:bottom w:val="double" w:sz="6" w:space="0" w:color="E26B0A"/>
              <w:right w:val="double" w:sz="6" w:space="0" w:color="E26B0A"/>
            </w:tcBorders>
            <w:vAlign w:val="center"/>
            <w:hideMark/>
          </w:tcPr>
          <w:p w14:paraId="600AF408" w14:textId="77777777" w:rsidR="005950B3" w:rsidRPr="005950B3" w:rsidRDefault="005950B3" w:rsidP="005950B3">
            <w:pPr>
              <w:rPr>
                <w:rFonts w:eastAsia="Times New Roman" w:cs="Calibri"/>
                <w:b/>
                <w:bCs/>
                <w:color w:val="FFFFFF"/>
                <w:sz w:val="20"/>
                <w:szCs w:val="20"/>
                <w:lang w:val="en-US"/>
              </w:rPr>
            </w:pPr>
          </w:p>
        </w:tc>
        <w:tc>
          <w:tcPr>
            <w:tcW w:w="824" w:type="dxa"/>
            <w:tcBorders>
              <w:top w:val="nil"/>
              <w:left w:val="nil"/>
              <w:bottom w:val="double" w:sz="6" w:space="0" w:color="E26B0A"/>
              <w:right w:val="double" w:sz="6" w:space="0" w:color="E26B0A"/>
            </w:tcBorders>
            <w:shd w:val="clear" w:color="000000" w:fill="E26B0A"/>
            <w:vAlign w:val="center"/>
            <w:hideMark/>
          </w:tcPr>
          <w:p w14:paraId="1F40BC83" w14:textId="77777777" w:rsidR="005950B3" w:rsidRPr="005950B3" w:rsidRDefault="005950B3" w:rsidP="005950B3">
            <w:pPr>
              <w:jc w:val="center"/>
              <w:rPr>
                <w:rFonts w:eastAsia="Times New Roman" w:cs="Calibri"/>
                <w:b/>
                <w:bCs/>
                <w:color w:val="FFFFFF"/>
                <w:sz w:val="20"/>
                <w:szCs w:val="20"/>
                <w:lang w:val="en-US"/>
              </w:rPr>
            </w:pPr>
            <w:r w:rsidRPr="005950B3">
              <w:rPr>
                <w:rFonts w:eastAsia="Times New Roman" w:cs="Calibri"/>
                <w:b/>
                <w:bCs/>
                <w:color w:val="FFFFFF"/>
                <w:sz w:val="20"/>
                <w:szCs w:val="20"/>
                <w:lang w:val="en-US"/>
              </w:rPr>
              <w:t xml:space="preserve"> година</w:t>
            </w:r>
          </w:p>
        </w:tc>
        <w:tc>
          <w:tcPr>
            <w:tcW w:w="824" w:type="dxa"/>
            <w:tcBorders>
              <w:top w:val="nil"/>
              <w:left w:val="nil"/>
              <w:bottom w:val="double" w:sz="6" w:space="0" w:color="E26B0A"/>
              <w:right w:val="double" w:sz="6" w:space="0" w:color="E26B0A"/>
            </w:tcBorders>
            <w:shd w:val="clear" w:color="000000" w:fill="E26B0A"/>
            <w:vAlign w:val="center"/>
            <w:hideMark/>
          </w:tcPr>
          <w:p w14:paraId="118CACC2" w14:textId="77777777" w:rsidR="005950B3" w:rsidRPr="005950B3" w:rsidRDefault="005950B3" w:rsidP="005950B3">
            <w:pPr>
              <w:jc w:val="center"/>
              <w:rPr>
                <w:rFonts w:eastAsia="Times New Roman" w:cs="Calibri"/>
                <w:b/>
                <w:bCs/>
                <w:color w:val="FFFFFF"/>
                <w:sz w:val="20"/>
                <w:szCs w:val="20"/>
                <w:lang w:val="en-US"/>
              </w:rPr>
            </w:pPr>
            <w:r w:rsidRPr="005950B3">
              <w:rPr>
                <w:rFonts w:eastAsia="Times New Roman" w:cs="Calibri"/>
                <w:b/>
                <w:bCs/>
                <w:color w:val="FFFFFF"/>
                <w:sz w:val="20"/>
                <w:szCs w:val="20"/>
                <w:lang w:val="en-US"/>
              </w:rPr>
              <w:t xml:space="preserve"> година</w:t>
            </w:r>
          </w:p>
        </w:tc>
        <w:tc>
          <w:tcPr>
            <w:tcW w:w="968" w:type="dxa"/>
            <w:tcBorders>
              <w:top w:val="nil"/>
              <w:left w:val="nil"/>
              <w:bottom w:val="double" w:sz="6" w:space="0" w:color="E26B0A"/>
              <w:right w:val="double" w:sz="6" w:space="0" w:color="E26B0A"/>
            </w:tcBorders>
            <w:shd w:val="clear" w:color="000000" w:fill="E26B0A"/>
            <w:vAlign w:val="center"/>
            <w:hideMark/>
          </w:tcPr>
          <w:p w14:paraId="5CCC46AC" w14:textId="77777777" w:rsidR="005950B3" w:rsidRPr="005950B3" w:rsidRDefault="005950B3" w:rsidP="005950B3">
            <w:pPr>
              <w:jc w:val="center"/>
              <w:rPr>
                <w:rFonts w:eastAsia="Times New Roman" w:cs="Calibri"/>
                <w:b/>
                <w:bCs/>
                <w:color w:val="FFFFFF"/>
                <w:sz w:val="20"/>
                <w:szCs w:val="20"/>
                <w:lang w:val="en-US"/>
              </w:rPr>
            </w:pPr>
            <w:r w:rsidRPr="005950B3">
              <w:rPr>
                <w:rFonts w:eastAsia="Times New Roman" w:cs="Calibri"/>
                <w:b/>
                <w:bCs/>
                <w:color w:val="FFFFFF"/>
                <w:sz w:val="20"/>
                <w:szCs w:val="20"/>
                <w:lang w:val="en-US"/>
              </w:rPr>
              <w:t>стойност</w:t>
            </w:r>
          </w:p>
        </w:tc>
        <w:tc>
          <w:tcPr>
            <w:tcW w:w="931" w:type="dxa"/>
            <w:tcBorders>
              <w:top w:val="nil"/>
              <w:left w:val="nil"/>
              <w:bottom w:val="double" w:sz="6" w:space="0" w:color="E26B0A"/>
              <w:right w:val="double" w:sz="6" w:space="0" w:color="E26B0A"/>
            </w:tcBorders>
            <w:shd w:val="clear" w:color="000000" w:fill="E26B0A"/>
            <w:vAlign w:val="center"/>
            <w:hideMark/>
          </w:tcPr>
          <w:p w14:paraId="23C0172B" w14:textId="77777777" w:rsidR="005950B3" w:rsidRPr="005950B3" w:rsidRDefault="005950B3" w:rsidP="005950B3">
            <w:pPr>
              <w:jc w:val="center"/>
              <w:rPr>
                <w:rFonts w:eastAsia="Times New Roman" w:cs="Calibri"/>
                <w:b/>
                <w:bCs/>
                <w:color w:val="FFFFFF"/>
                <w:sz w:val="20"/>
                <w:szCs w:val="20"/>
                <w:lang w:val="en-US"/>
              </w:rPr>
            </w:pPr>
            <w:r w:rsidRPr="005950B3">
              <w:rPr>
                <w:rFonts w:eastAsia="Times New Roman" w:cs="Calibri"/>
                <w:b/>
                <w:bCs/>
                <w:color w:val="FFFFFF"/>
                <w:sz w:val="20"/>
                <w:szCs w:val="20"/>
                <w:lang w:val="en-US"/>
              </w:rPr>
              <w:t>процент</w:t>
            </w:r>
          </w:p>
        </w:tc>
        <w:tc>
          <w:tcPr>
            <w:tcW w:w="222" w:type="dxa"/>
            <w:vAlign w:val="center"/>
            <w:hideMark/>
          </w:tcPr>
          <w:p w14:paraId="1B458891" w14:textId="77777777" w:rsidR="005950B3" w:rsidRPr="005950B3" w:rsidRDefault="005950B3" w:rsidP="005950B3">
            <w:pPr>
              <w:rPr>
                <w:rFonts w:ascii="Times New Roman" w:eastAsia="Times New Roman" w:hAnsi="Times New Roman"/>
                <w:sz w:val="20"/>
                <w:szCs w:val="20"/>
                <w:lang w:val="en-US"/>
              </w:rPr>
            </w:pPr>
          </w:p>
        </w:tc>
      </w:tr>
      <w:tr w:rsidR="005950B3" w:rsidRPr="005950B3" w14:paraId="3BF4FA9B" w14:textId="77777777" w:rsidTr="005950B3">
        <w:trPr>
          <w:trHeight w:val="300"/>
        </w:trPr>
        <w:tc>
          <w:tcPr>
            <w:tcW w:w="706" w:type="dxa"/>
            <w:tcBorders>
              <w:top w:val="nil"/>
              <w:left w:val="double" w:sz="6" w:space="0" w:color="E26B0A"/>
              <w:bottom w:val="double" w:sz="6" w:space="0" w:color="E26B0A"/>
              <w:right w:val="double" w:sz="6" w:space="0" w:color="E26B0A"/>
            </w:tcBorders>
            <w:shd w:val="clear" w:color="auto" w:fill="auto"/>
            <w:noWrap/>
            <w:vAlign w:val="bottom"/>
            <w:hideMark/>
          </w:tcPr>
          <w:p w14:paraId="4BB45326" w14:textId="77777777" w:rsidR="005950B3" w:rsidRPr="005950B3" w:rsidRDefault="005950B3" w:rsidP="005950B3">
            <w:pPr>
              <w:jc w:val="center"/>
              <w:rPr>
                <w:rFonts w:eastAsia="Times New Roman" w:cs="Calibri"/>
                <w:sz w:val="20"/>
                <w:szCs w:val="20"/>
                <w:lang w:val="en-US"/>
              </w:rPr>
            </w:pPr>
            <w:r w:rsidRPr="005950B3">
              <w:rPr>
                <w:rFonts w:eastAsia="Times New Roman" w:cs="Calibri"/>
                <w:sz w:val="20"/>
                <w:szCs w:val="20"/>
                <w:lang w:val="en-US"/>
              </w:rPr>
              <w:t>1</w:t>
            </w:r>
          </w:p>
        </w:tc>
        <w:tc>
          <w:tcPr>
            <w:tcW w:w="5449" w:type="dxa"/>
            <w:tcBorders>
              <w:top w:val="nil"/>
              <w:left w:val="nil"/>
              <w:bottom w:val="double" w:sz="6" w:space="0" w:color="E26B0A"/>
              <w:right w:val="double" w:sz="6" w:space="0" w:color="E26B0A"/>
            </w:tcBorders>
            <w:shd w:val="clear" w:color="auto" w:fill="auto"/>
            <w:noWrap/>
            <w:vAlign w:val="bottom"/>
            <w:hideMark/>
          </w:tcPr>
          <w:p w14:paraId="5FE6AB00" w14:textId="77777777" w:rsidR="005950B3" w:rsidRPr="005950B3" w:rsidRDefault="005950B3" w:rsidP="005950B3">
            <w:pPr>
              <w:rPr>
                <w:rFonts w:eastAsia="Times New Roman" w:cs="Calibri"/>
                <w:sz w:val="20"/>
                <w:szCs w:val="20"/>
                <w:lang w:val="en-US"/>
              </w:rPr>
            </w:pPr>
            <w:r w:rsidRPr="005950B3">
              <w:rPr>
                <w:rFonts w:eastAsia="Times New Roman" w:cs="Calibri"/>
                <w:sz w:val="20"/>
                <w:szCs w:val="20"/>
                <w:lang w:val="en-US"/>
              </w:rPr>
              <w:t>Финансов резултат</w:t>
            </w:r>
          </w:p>
        </w:tc>
        <w:tc>
          <w:tcPr>
            <w:tcW w:w="824" w:type="dxa"/>
            <w:tcBorders>
              <w:top w:val="nil"/>
              <w:left w:val="nil"/>
              <w:bottom w:val="double" w:sz="6" w:space="0" w:color="E26B0A"/>
              <w:right w:val="double" w:sz="6" w:space="0" w:color="E26B0A"/>
            </w:tcBorders>
            <w:shd w:val="clear" w:color="000000" w:fill="FDE9D9"/>
            <w:noWrap/>
            <w:vAlign w:val="bottom"/>
            <w:hideMark/>
          </w:tcPr>
          <w:p w14:paraId="2F3B02CE"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224</w:t>
            </w:r>
          </w:p>
        </w:tc>
        <w:tc>
          <w:tcPr>
            <w:tcW w:w="824" w:type="dxa"/>
            <w:tcBorders>
              <w:top w:val="nil"/>
              <w:left w:val="nil"/>
              <w:bottom w:val="double" w:sz="6" w:space="0" w:color="E26B0A"/>
              <w:right w:val="double" w:sz="6" w:space="0" w:color="E26B0A"/>
            </w:tcBorders>
            <w:shd w:val="clear" w:color="000000" w:fill="FDE9D9"/>
            <w:noWrap/>
            <w:vAlign w:val="bottom"/>
            <w:hideMark/>
          </w:tcPr>
          <w:p w14:paraId="05E77095"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109</w:t>
            </w:r>
          </w:p>
        </w:tc>
        <w:tc>
          <w:tcPr>
            <w:tcW w:w="968" w:type="dxa"/>
            <w:tcBorders>
              <w:top w:val="nil"/>
              <w:left w:val="nil"/>
              <w:bottom w:val="double" w:sz="6" w:space="0" w:color="E26B0A"/>
              <w:right w:val="double" w:sz="6" w:space="0" w:color="E26B0A"/>
            </w:tcBorders>
            <w:shd w:val="clear" w:color="000000" w:fill="FABF8F"/>
            <w:noWrap/>
            <w:vAlign w:val="bottom"/>
            <w:hideMark/>
          </w:tcPr>
          <w:p w14:paraId="1AD6AC25"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115</w:t>
            </w:r>
          </w:p>
        </w:tc>
        <w:tc>
          <w:tcPr>
            <w:tcW w:w="931" w:type="dxa"/>
            <w:tcBorders>
              <w:top w:val="nil"/>
              <w:left w:val="nil"/>
              <w:bottom w:val="double" w:sz="6" w:space="0" w:color="E26B0A"/>
              <w:right w:val="double" w:sz="6" w:space="0" w:color="E26B0A"/>
            </w:tcBorders>
            <w:shd w:val="clear" w:color="000000" w:fill="FABF8F"/>
            <w:noWrap/>
            <w:vAlign w:val="bottom"/>
            <w:hideMark/>
          </w:tcPr>
          <w:p w14:paraId="3896BAC5"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105,5%</w:t>
            </w:r>
          </w:p>
        </w:tc>
        <w:tc>
          <w:tcPr>
            <w:tcW w:w="222" w:type="dxa"/>
            <w:vAlign w:val="center"/>
            <w:hideMark/>
          </w:tcPr>
          <w:p w14:paraId="0987DB4E" w14:textId="77777777" w:rsidR="005950B3" w:rsidRPr="005950B3" w:rsidRDefault="005950B3" w:rsidP="005950B3">
            <w:pPr>
              <w:rPr>
                <w:rFonts w:ascii="Times New Roman" w:eastAsia="Times New Roman" w:hAnsi="Times New Roman"/>
                <w:sz w:val="20"/>
                <w:szCs w:val="20"/>
                <w:lang w:val="en-US"/>
              </w:rPr>
            </w:pPr>
          </w:p>
        </w:tc>
      </w:tr>
      <w:tr w:rsidR="005950B3" w:rsidRPr="005950B3" w14:paraId="50045436" w14:textId="77777777" w:rsidTr="005950B3">
        <w:trPr>
          <w:trHeight w:val="255"/>
        </w:trPr>
        <w:tc>
          <w:tcPr>
            <w:tcW w:w="706" w:type="dxa"/>
            <w:tcBorders>
              <w:top w:val="nil"/>
              <w:left w:val="double" w:sz="6" w:space="0" w:color="E26B0A"/>
              <w:bottom w:val="double" w:sz="6" w:space="0" w:color="E26B0A"/>
              <w:right w:val="double" w:sz="6" w:space="0" w:color="E26B0A"/>
            </w:tcBorders>
            <w:shd w:val="clear" w:color="auto" w:fill="auto"/>
            <w:noWrap/>
            <w:vAlign w:val="bottom"/>
            <w:hideMark/>
          </w:tcPr>
          <w:p w14:paraId="403ED9C9" w14:textId="77777777" w:rsidR="005950B3" w:rsidRPr="005950B3" w:rsidRDefault="005950B3" w:rsidP="005950B3">
            <w:pPr>
              <w:jc w:val="center"/>
              <w:rPr>
                <w:rFonts w:eastAsia="Times New Roman" w:cs="Calibri"/>
                <w:sz w:val="20"/>
                <w:szCs w:val="20"/>
                <w:lang w:val="en-US"/>
              </w:rPr>
            </w:pPr>
            <w:r w:rsidRPr="005950B3">
              <w:rPr>
                <w:rFonts w:eastAsia="Times New Roman" w:cs="Calibri"/>
                <w:sz w:val="20"/>
                <w:szCs w:val="20"/>
                <w:lang w:val="en-US"/>
              </w:rPr>
              <w:t>2</w:t>
            </w:r>
          </w:p>
        </w:tc>
        <w:tc>
          <w:tcPr>
            <w:tcW w:w="5449" w:type="dxa"/>
            <w:tcBorders>
              <w:top w:val="nil"/>
              <w:left w:val="nil"/>
              <w:bottom w:val="double" w:sz="6" w:space="0" w:color="E26B0A"/>
              <w:right w:val="double" w:sz="6" w:space="0" w:color="E26B0A"/>
            </w:tcBorders>
            <w:shd w:val="clear" w:color="auto" w:fill="auto"/>
            <w:noWrap/>
            <w:vAlign w:val="bottom"/>
            <w:hideMark/>
          </w:tcPr>
          <w:p w14:paraId="4635C6D1" w14:textId="77777777" w:rsidR="005950B3" w:rsidRPr="005950B3" w:rsidRDefault="005950B3" w:rsidP="005950B3">
            <w:pPr>
              <w:rPr>
                <w:rFonts w:eastAsia="Times New Roman" w:cs="Calibri"/>
                <w:sz w:val="20"/>
                <w:szCs w:val="20"/>
                <w:lang w:val="en-US"/>
              </w:rPr>
            </w:pPr>
            <w:r w:rsidRPr="005950B3">
              <w:rPr>
                <w:rFonts w:eastAsia="Times New Roman" w:cs="Calibri"/>
                <w:sz w:val="20"/>
                <w:szCs w:val="20"/>
                <w:lang w:val="en-US"/>
              </w:rPr>
              <w:t>Нетни приходи от продажби</w:t>
            </w:r>
          </w:p>
        </w:tc>
        <w:tc>
          <w:tcPr>
            <w:tcW w:w="824" w:type="dxa"/>
            <w:tcBorders>
              <w:top w:val="nil"/>
              <w:left w:val="nil"/>
              <w:bottom w:val="double" w:sz="6" w:space="0" w:color="E26B0A"/>
              <w:right w:val="double" w:sz="6" w:space="0" w:color="E26B0A"/>
            </w:tcBorders>
            <w:shd w:val="clear" w:color="000000" w:fill="FDE9D9"/>
            <w:noWrap/>
            <w:vAlign w:val="bottom"/>
            <w:hideMark/>
          </w:tcPr>
          <w:p w14:paraId="18190EC1"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2233</w:t>
            </w:r>
          </w:p>
        </w:tc>
        <w:tc>
          <w:tcPr>
            <w:tcW w:w="824" w:type="dxa"/>
            <w:tcBorders>
              <w:top w:val="nil"/>
              <w:left w:val="nil"/>
              <w:bottom w:val="double" w:sz="6" w:space="0" w:color="E26B0A"/>
              <w:right w:val="double" w:sz="6" w:space="0" w:color="E26B0A"/>
            </w:tcBorders>
            <w:shd w:val="clear" w:color="000000" w:fill="FDE9D9"/>
            <w:noWrap/>
            <w:vAlign w:val="bottom"/>
            <w:hideMark/>
          </w:tcPr>
          <w:p w14:paraId="1457B8E4"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1816</w:t>
            </w:r>
          </w:p>
        </w:tc>
        <w:tc>
          <w:tcPr>
            <w:tcW w:w="968" w:type="dxa"/>
            <w:tcBorders>
              <w:top w:val="nil"/>
              <w:left w:val="nil"/>
              <w:bottom w:val="double" w:sz="6" w:space="0" w:color="E26B0A"/>
              <w:right w:val="double" w:sz="6" w:space="0" w:color="E26B0A"/>
            </w:tcBorders>
            <w:shd w:val="clear" w:color="000000" w:fill="FABF8F"/>
            <w:noWrap/>
            <w:vAlign w:val="bottom"/>
            <w:hideMark/>
          </w:tcPr>
          <w:p w14:paraId="045CADD7"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417</w:t>
            </w:r>
          </w:p>
        </w:tc>
        <w:tc>
          <w:tcPr>
            <w:tcW w:w="931" w:type="dxa"/>
            <w:tcBorders>
              <w:top w:val="nil"/>
              <w:left w:val="nil"/>
              <w:bottom w:val="double" w:sz="6" w:space="0" w:color="E26B0A"/>
              <w:right w:val="double" w:sz="6" w:space="0" w:color="E26B0A"/>
            </w:tcBorders>
            <w:shd w:val="clear" w:color="000000" w:fill="FABF8F"/>
            <w:noWrap/>
            <w:vAlign w:val="bottom"/>
            <w:hideMark/>
          </w:tcPr>
          <w:p w14:paraId="7285CE9E"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23,0%</w:t>
            </w:r>
          </w:p>
        </w:tc>
        <w:tc>
          <w:tcPr>
            <w:tcW w:w="222" w:type="dxa"/>
            <w:vAlign w:val="center"/>
            <w:hideMark/>
          </w:tcPr>
          <w:p w14:paraId="12548879" w14:textId="77777777" w:rsidR="005950B3" w:rsidRPr="005950B3" w:rsidRDefault="005950B3" w:rsidP="005950B3">
            <w:pPr>
              <w:rPr>
                <w:rFonts w:ascii="Times New Roman" w:eastAsia="Times New Roman" w:hAnsi="Times New Roman"/>
                <w:sz w:val="20"/>
                <w:szCs w:val="20"/>
                <w:lang w:val="en-US"/>
              </w:rPr>
            </w:pPr>
          </w:p>
        </w:tc>
      </w:tr>
      <w:tr w:rsidR="005950B3" w:rsidRPr="005950B3" w14:paraId="12C501CC" w14:textId="77777777" w:rsidTr="005950B3">
        <w:trPr>
          <w:trHeight w:val="300"/>
        </w:trPr>
        <w:tc>
          <w:tcPr>
            <w:tcW w:w="706" w:type="dxa"/>
            <w:tcBorders>
              <w:top w:val="nil"/>
              <w:left w:val="double" w:sz="6" w:space="0" w:color="E26B0A"/>
              <w:bottom w:val="double" w:sz="6" w:space="0" w:color="E26B0A"/>
              <w:right w:val="double" w:sz="6" w:space="0" w:color="E26B0A"/>
            </w:tcBorders>
            <w:shd w:val="clear" w:color="auto" w:fill="auto"/>
            <w:noWrap/>
            <w:vAlign w:val="bottom"/>
            <w:hideMark/>
          </w:tcPr>
          <w:p w14:paraId="511F75AE" w14:textId="77777777" w:rsidR="005950B3" w:rsidRPr="005950B3" w:rsidRDefault="005950B3" w:rsidP="005950B3">
            <w:pPr>
              <w:jc w:val="center"/>
              <w:rPr>
                <w:rFonts w:eastAsia="Times New Roman" w:cs="Calibri"/>
                <w:sz w:val="20"/>
                <w:szCs w:val="20"/>
                <w:lang w:val="en-US"/>
              </w:rPr>
            </w:pPr>
            <w:r w:rsidRPr="005950B3">
              <w:rPr>
                <w:rFonts w:eastAsia="Times New Roman" w:cs="Calibri"/>
                <w:sz w:val="20"/>
                <w:szCs w:val="20"/>
                <w:lang w:val="en-US"/>
              </w:rPr>
              <w:t>3</w:t>
            </w:r>
          </w:p>
        </w:tc>
        <w:tc>
          <w:tcPr>
            <w:tcW w:w="5449" w:type="dxa"/>
            <w:tcBorders>
              <w:top w:val="nil"/>
              <w:left w:val="nil"/>
              <w:bottom w:val="double" w:sz="6" w:space="0" w:color="E26B0A"/>
              <w:right w:val="double" w:sz="6" w:space="0" w:color="E26B0A"/>
            </w:tcBorders>
            <w:shd w:val="clear" w:color="auto" w:fill="auto"/>
            <w:noWrap/>
            <w:vAlign w:val="bottom"/>
            <w:hideMark/>
          </w:tcPr>
          <w:p w14:paraId="3EF27ACA" w14:textId="77777777" w:rsidR="005950B3" w:rsidRPr="005950B3" w:rsidRDefault="005950B3" w:rsidP="005950B3">
            <w:pPr>
              <w:rPr>
                <w:rFonts w:eastAsia="Times New Roman" w:cs="Calibri"/>
                <w:sz w:val="20"/>
                <w:szCs w:val="20"/>
                <w:lang w:val="en-US"/>
              </w:rPr>
            </w:pPr>
            <w:r w:rsidRPr="005950B3">
              <w:rPr>
                <w:rFonts w:eastAsia="Times New Roman" w:cs="Calibri"/>
                <w:sz w:val="20"/>
                <w:szCs w:val="20"/>
                <w:lang w:val="en-US"/>
              </w:rPr>
              <w:t>Общо приходи от оперативна дейност</w:t>
            </w:r>
          </w:p>
        </w:tc>
        <w:tc>
          <w:tcPr>
            <w:tcW w:w="824" w:type="dxa"/>
            <w:tcBorders>
              <w:top w:val="nil"/>
              <w:left w:val="nil"/>
              <w:bottom w:val="double" w:sz="6" w:space="0" w:color="E26B0A"/>
              <w:right w:val="double" w:sz="6" w:space="0" w:color="E26B0A"/>
            </w:tcBorders>
            <w:shd w:val="clear" w:color="000000" w:fill="FDE9D9"/>
            <w:noWrap/>
            <w:vAlign w:val="bottom"/>
            <w:hideMark/>
          </w:tcPr>
          <w:p w14:paraId="775D6468"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2292</w:t>
            </w:r>
          </w:p>
        </w:tc>
        <w:tc>
          <w:tcPr>
            <w:tcW w:w="824" w:type="dxa"/>
            <w:tcBorders>
              <w:top w:val="nil"/>
              <w:left w:val="nil"/>
              <w:bottom w:val="double" w:sz="6" w:space="0" w:color="E26B0A"/>
              <w:right w:val="double" w:sz="6" w:space="0" w:color="E26B0A"/>
            </w:tcBorders>
            <w:shd w:val="clear" w:color="000000" w:fill="FDE9D9"/>
            <w:noWrap/>
            <w:vAlign w:val="bottom"/>
            <w:hideMark/>
          </w:tcPr>
          <w:p w14:paraId="54E1DF7E"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1880</w:t>
            </w:r>
          </w:p>
        </w:tc>
        <w:tc>
          <w:tcPr>
            <w:tcW w:w="968" w:type="dxa"/>
            <w:tcBorders>
              <w:top w:val="nil"/>
              <w:left w:val="nil"/>
              <w:bottom w:val="double" w:sz="6" w:space="0" w:color="E26B0A"/>
              <w:right w:val="double" w:sz="6" w:space="0" w:color="E26B0A"/>
            </w:tcBorders>
            <w:shd w:val="clear" w:color="000000" w:fill="FABF8F"/>
            <w:noWrap/>
            <w:vAlign w:val="bottom"/>
            <w:hideMark/>
          </w:tcPr>
          <w:p w14:paraId="7847CC65"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412</w:t>
            </w:r>
          </w:p>
        </w:tc>
        <w:tc>
          <w:tcPr>
            <w:tcW w:w="931" w:type="dxa"/>
            <w:tcBorders>
              <w:top w:val="nil"/>
              <w:left w:val="nil"/>
              <w:bottom w:val="double" w:sz="6" w:space="0" w:color="E26B0A"/>
              <w:right w:val="double" w:sz="6" w:space="0" w:color="E26B0A"/>
            </w:tcBorders>
            <w:shd w:val="clear" w:color="000000" w:fill="FABF8F"/>
            <w:noWrap/>
            <w:vAlign w:val="bottom"/>
            <w:hideMark/>
          </w:tcPr>
          <w:p w14:paraId="757946E8"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21,9%</w:t>
            </w:r>
          </w:p>
        </w:tc>
        <w:tc>
          <w:tcPr>
            <w:tcW w:w="222" w:type="dxa"/>
            <w:vAlign w:val="center"/>
            <w:hideMark/>
          </w:tcPr>
          <w:p w14:paraId="48A23B2D" w14:textId="77777777" w:rsidR="005950B3" w:rsidRPr="005950B3" w:rsidRDefault="005950B3" w:rsidP="005950B3">
            <w:pPr>
              <w:rPr>
                <w:rFonts w:ascii="Times New Roman" w:eastAsia="Times New Roman" w:hAnsi="Times New Roman"/>
                <w:sz w:val="20"/>
                <w:szCs w:val="20"/>
                <w:lang w:val="en-US"/>
              </w:rPr>
            </w:pPr>
          </w:p>
        </w:tc>
      </w:tr>
      <w:tr w:rsidR="005950B3" w:rsidRPr="005950B3" w14:paraId="6F94282A" w14:textId="77777777" w:rsidTr="005950B3">
        <w:trPr>
          <w:trHeight w:val="300"/>
        </w:trPr>
        <w:tc>
          <w:tcPr>
            <w:tcW w:w="706" w:type="dxa"/>
            <w:tcBorders>
              <w:top w:val="nil"/>
              <w:left w:val="double" w:sz="6" w:space="0" w:color="E26B0A"/>
              <w:bottom w:val="double" w:sz="6" w:space="0" w:color="E26B0A"/>
              <w:right w:val="double" w:sz="6" w:space="0" w:color="E26B0A"/>
            </w:tcBorders>
            <w:shd w:val="clear" w:color="auto" w:fill="auto"/>
            <w:noWrap/>
            <w:vAlign w:val="bottom"/>
            <w:hideMark/>
          </w:tcPr>
          <w:p w14:paraId="2AE2976C" w14:textId="77777777" w:rsidR="005950B3" w:rsidRPr="005950B3" w:rsidRDefault="005950B3" w:rsidP="005950B3">
            <w:pPr>
              <w:jc w:val="center"/>
              <w:rPr>
                <w:rFonts w:eastAsia="Times New Roman" w:cs="Calibri"/>
                <w:sz w:val="20"/>
                <w:szCs w:val="20"/>
                <w:lang w:val="en-US"/>
              </w:rPr>
            </w:pPr>
            <w:r w:rsidRPr="005950B3">
              <w:rPr>
                <w:rFonts w:eastAsia="Times New Roman" w:cs="Calibri"/>
                <w:sz w:val="20"/>
                <w:szCs w:val="20"/>
                <w:lang w:val="en-US"/>
              </w:rPr>
              <w:t>4</w:t>
            </w:r>
          </w:p>
        </w:tc>
        <w:tc>
          <w:tcPr>
            <w:tcW w:w="5449" w:type="dxa"/>
            <w:tcBorders>
              <w:top w:val="nil"/>
              <w:left w:val="nil"/>
              <w:bottom w:val="double" w:sz="6" w:space="0" w:color="E26B0A"/>
              <w:right w:val="double" w:sz="6" w:space="0" w:color="E26B0A"/>
            </w:tcBorders>
            <w:shd w:val="clear" w:color="auto" w:fill="auto"/>
            <w:noWrap/>
            <w:vAlign w:val="bottom"/>
            <w:hideMark/>
          </w:tcPr>
          <w:p w14:paraId="51D7D96F" w14:textId="77777777" w:rsidR="005950B3" w:rsidRPr="005950B3" w:rsidRDefault="005950B3" w:rsidP="005950B3">
            <w:pPr>
              <w:rPr>
                <w:rFonts w:eastAsia="Times New Roman" w:cs="Calibri"/>
                <w:sz w:val="20"/>
                <w:szCs w:val="20"/>
                <w:lang w:val="en-US"/>
              </w:rPr>
            </w:pPr>
            <w:r w:rsidRPr="005950B3">
              <w:rPr>
                <w:rFonts w:eastAsia="Times New Roman" w:cs="Calibri"/>
                <w:sz w:val="20"/>
                <w:szCs w:val="20"/>
                <w:lang w:val="en-US"/>
              </w:rPr>
              <w:t>Общо приходи</w:t>
            </w:r>
          </w:p>
        </w:tc>
        <w:tc>
          <w:tcPr>
            <w:tcW w:w="824" w:type="dxa"/>
            <w:tcBorders>
              <w:top w:val="nil"/>
              <w:left w:val="nil"/>
              <w:bottom w:val="double" w:sz="6" w:space="0" w:color="E26B0A"/>
              <w:right w:val="double" w:sz="6" w:space="0" w:color="E26B0A"/>
            </w:tcBorders>
            <w:shd w:val="clear" w:color="000000" w:fill="FDE9D9"/>
            <w:noWrap/>
            <w:vAlign w:val="bottom"/>
            <w:hideMark/>
          </w:tcPr>
          <w:p w14:paraId="60BD50F0"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2292</w:t>
            </w:r>
          </w:p>
        </w:tc>
        <w:tc>
          <w:tcPr>
            <w:tcW w:w="824" w:type="dxa"/>
            <w:tcBorders>
              <w:top w:val="nil"/>
              <w:left w:val="nil"/>
              <w:bottom w:val="double" w:sz="6" w:space="0" w:color="E26B0A"/>
              <w:right w:val="double" w:sz="6" w:space="0" w:color="E26B0A"/>
            </w:tcBorders>
            <w:shd w:val="clear" w:color="000000" w:fill="FDE9D9"/>
            <w:noWrap/>
            <w:vAlign w:val="bottom"/>
            <w:hideMark/>
          </w:tcPr>
          <w:p w14:paraId="59D6EA51"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1880</w:t>
            </w:r>
          </w:p>
        </w:tc>
        <w:tc>
          <w:tcPr>
            <w:tcW w:w="968" w:type="dxa"/>
            <w:tcBorders>
              <w:top w:val="nil"/>
              <w:left w:val="nil"/>
              <w:bottom w:val="double" w:sz="6" w:space="0" w:color="E26B0A"/>
              <w:right w:val="double" w:sz="6" w:space="0" w:color="E26B0A"/>
            </w:tcBorders>
            <w:shd w:val="clear" w:color="000000" w:fill="FABF8F"/>
            <w:noWrap/>
            <w:vAlign w:val="bottom"/>
            <w:hideMark/>
          </w:tcPr>
          <w:p w14:paraId="24E80B2E"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412</w:t>
            </w:r>
          </w:p>
        </w:tc>
        <w:tc>
          <w:tcPr>
            <w:tcW w:w="931" w:type="dxa"/>
            <w:tcBorders>
              <w:top w:val="nil"/>
              <w:left w:val="nil"/>
              <w:bottom w:val="double" w:sz="6" w:space="0" w:color="E26B0A"/>
              <w:right w:val="double" w:sz="6" w:space="0" w:color="E26B0A"/>
            </w:tcBorders>
            <w:shd w:val="clear" w:color="000000" w:fill="FABF8F"/>
            <w:noWrap/>
            <w:vAlign w:val="bottom"/>
            <w:hideMark/>
          </w:tcPr>
          <w:p w14:paraId="7501B0CF"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21,9%</w:t>
            </w:r>
          </w:p>
        </w:tc>
        <w:tc>
          <w:tcPr>
            <w:tcW w:w="222" w:type="dxa"/>
            <w:vAlign w:val="center"/>
            <w:hideMark/>
          </w:tcPr>
          <w:p w14:paraId="5CE8F1E1" w14:textId="77777777" w:rsidR="005950B3" w:rsidRPr="005950B3" w:rsidRDefault="005950B3" w:rsidP="005950B3">
            <w:pPr>
              <w:rPr>
                <w:rFonts w:ascii="Times New Roman" w:eastAsia="Times New Roman" w:hAnsi="Times New Roman"/>
                <w:sz w:val="20"/>
                <w:szCs w:val="20"/>
                <w:lang w:val="en-US"/>
              </w:rPr>
            </w:pPr>
          </w:p>
        </w:tc>
      </w:tr>
      <w:tr w:rsidR="005950B3" w:rsidRPr="005950B3" w14:paraId="460F45EF" w14:textId="77777777" w:rsidTr="005950B3">
        <w:trPr>
          <w:trHeight w:val="300"/>
        </w:trPr>
        <w:tc>
          <w:tcPr>
            <w:tcW w:w="706" w:type="dxa"/>
            <w:tcBorders>
              <w:top w:val="nil"/>
              <w:left w:val="double" w:sz="6" w:space="0" w:color="E26B0A"/>
              <w:bottom w:val="double" w:sz="6" w:space="0" w:color="E26B0A"/>
              <w:right w:val="double" w:sz="6" w:space="0" w:color="E26B0A"/>
            </w:tcBorders>
            <w:shd w:val="clear" w:color="auto" w:fill="auto"/>
            <w:noWrap/>
            <w:vAlign w:val="bottom"/>
            <w:hideMark/>
          </w:tcPr>
          <w:p w14:paraId="21D5D4E3" w14:textId="77777777" w:rsidR="005950B3" w:rsidRPr="005950B3" w:rsidRDefault="005950B3" w:rsidP="005950B3">
            <w:pPr>
              <w:jc w:val="center"/>
              <w:rPr>
                <w:rFonts w:eastAsia="Times New Roman" w:cs="Calibri"/>
                <w:sz w:val="20"/>
                <w:szCs w:val="20"/>
                <w:lang w:val="en-US"/>
              </w:rPr>
            </w:pPr>
            <w:r w:rsidRPr="005950B3">
              <w:rPr>
                <w:rFonts w:eastAsia="Times New Roman" w:cs="Calibri"/>
                <w:sz w:val="20"/>
                <w:szCs w:val="20"/>
                <w:lang w:val="en-US"/>
              </w:rPr>
              <w:t>5</w:t>
            </w:r>
          </w:p>
        </w:tc>
        <w:tc>
          <w:tcPr>
            <w:tcW w:w="5449" w:type="dxa"/>
            <w:tcBorders>
              <w:top w:val="nil"/>
              <w:left w:val="nil"/>
              <w:bottom w:val="double" w:sz="6" w:space="0" w:color="E26B0A"/>
              <w:right w:val="double" w:sz="6" w:space="0" w:color="E26B0A"/>
            </w:tcBorders>
            <w:shd w:val="clear" w:color="auto" w:fill="auto"/>
            <w:noWrap/>
            <w:vAlign w:val="bottom"/>
            <w:hideMark/>
          </w:tcPr>
          <w:p w14:paraId="2354C53C" w14:textId="77777777" w:rsidR="005950B3" w:rsidRPr="005950B3" w:rsidRDefault="005950B3" w:rsidP="005950B3">
            <w:pPr>
              <w:rPr>
                <w:rFonts w:eastAsia="Times New Roman" w:cs="Calibri"/>
                <w:sz w:val="20"/>
                <w:szCs w:val="20"/>
                <w:lang w:val="en-US"/>
              </w:rPr>
            </w:pPr>
            <w:r w:rsidRPr="005950B3">
              <w:rPr>
                <w:rFonts w:eastAsia="Times New Roman" w:cs="Calibri"/>
                <w:sz w:val="20"/>
                <w:szCs w:val="20"/>
                <w:lang w:val="en-US"/>
              </w:rPr>
              <w:t>Общо разходи за оперативна дейност</w:t>
            </w:r>
          </w:p>
        </w:tc>
        <w:tc>
          <w:tcPr>
            <w:tcW w:w="824" w:type="dxa"/>
            <w:tcBorders>
              <w:top w:val="nil"/>
              <w:left w:val="nil"/>
              <w:bottom w:val="double" w:sz="6" w:space="0" w:color="E26B0A"/>
              <w:right w:val="double" w:sz="6" w:space="0" w:color="E26B0A"/>
            </w:tcBorders>
            <w:shd w:val="clear" w:color="000000" w:fill="FDE9D9"/>
            <w:noWrap/>
            <w:vAlign w:val="bottom"/>
            <w:hideMark/>
          </w:tcPr>
          <w:p w14:paraId="061F4E31"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2037</w:t>
            </w:r>
          </w:p>
        </w:tc>
        <w:tc>
          <w:tcPr>
            <w:tcW w:w="824" w:type="dxa"/>
            <w:tcBorders>
              <w:top w:val="nil"/>
              <w:left w:val="nil"/>
              <w:bottom w:val="double" w:sz="6" w:space="0" w:color="E26B0A"/>
              <w:right w:val="double" w:sz="6" w:space="0" w:color="E26B0A"/>
            </w:tcBorders>
            <w:shd w:val="clear" w:color="000000" w:fill="FDE9D9"/>
            <w:noWrap/>
            <w:vAlign w:val="bottom"/>
            <w:hideMark/>
          </w:tcPr>
          <w:p w14:paraId="7A075489"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1750</w:t>
            </w:r>
          </w:p>
        </w:tc>
        <w:tc>
          <w:tcPr>
            <w:tcW w:w="968" w:type="dxa"/>
            <w:tcBorders>
              <w:top w:val="nil"/>
              <w:left w:val="nil"/>
              <w:bottom w:val="double" w:sz="6" w:space="0" w:color="E26B0A"/>
              <w:right w:val="double" w:sz="6" w:space="0" w:color="E26B0A"/>
            </w:tcBorders>
            <w:shd w:val="clear" w:color="000000" w:fill="FABF8F"/>
            <w:noWrap/>
            <w:vAlign w:val="bottom"/>
            <w:hideMark/>
          </w:tcPr>
          <w:p w14:paraId="06430874"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287</w:t>
            </w:r>
          </w:p>
        </w:tc>
        <w:tc>
          <w:tcPr>
            <w:tcW w:w="931" w:type="dxa"/>
            <w:tcBorders>
              <w:top w:val="nil"/>
              <w:left w:val="nil"/>
              <w:bottom w:val="double" w:sz="6" w:space="0" w:color="E26B0A"/>
              <w:right w:val="double" w:sz="6" w:space="0" w:color="E26B0A"/>
            </w:tcBorders>
            <w:shd w:val="clear" w:color="000000" w:fill="FABF8F"/>
            <w:noWrap/>
            <w:vAlign w:val="bottom"/>
            <w:hideMark/>
          </w:tcPr>
          <w:p w14:paraId="54A80735"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16,4%</w:t>
            </w:r>
          </w:p>
        </w:tc>
        <w:tc>
          <w:tcPr>
            <w:tcW w:w="222" w:type="dxa"/>
            <w:vAlign w:val="center"/>
            <w:hideMark/>
          </w:tcPr>
          <w:p w14:paraId="4D295784" w14:textId="77777777" w:rsidR="005950B3" w:rsidRPr="005950B3" w:rsidRDefault="005950B3" w:rsidP="005950B3">
            <w:pPr>
              <w:rPr>
                <w:rFonts w:ascii="Times New Roman" w:eastAsia="Times New Roman" w:hAnsi="Times New Roman"/>
                <w:sz w:val="20"/>
                <w:szCs w:val="20"/>
                <w:lang w:val="en-US"/>
              </w:rPr>
            </w:pPr>
          </w:p>
        </w:tc>
      </w:tr>
      <w:tr w:rsidR="005950B3" w:rsidRPr="005950B3" w14:paraId="3A057A2B" w14:textId="77777777" w:rsidTr="005950B3">
        <w:trPr>
          <w:trHeight w:val="300"/>
        </w:trPr>
        <w:tc>
          <w:tcPr>
            <w:tcW w:w="706" w:type="dxa"/>
            <w:tcBorders>
              <w:top w:val="nil"/>
              <w:left w:val="double" w:sz="6" w:space="0" w:color="E26B0A"/>
              <w:bottom w:val="double" w:sz="6" w:space="0" w:color="E26B0A"/>
              <w:right w:val="double" w:sz="6" w:space="0" w:color="E26B0A"/>
            </w:tcBorders>
            <w:shd w:val="clear" w:color="auto" w:fill="auto"/>
            <w:noWrap/>
            <w:vAlign w:val="bottom"/>
            <w:hideMark/>
          </w:tcPr>
          <w:p w14:paraId="52FAB9A4" w14:textId="77777777" w:rsidR="005950B3" w:rsidRPr="005950B3" w:rsidRDefault="005950B3" w:rsidP="005950B3">
            <w:pPr>
              <w:jc w:val="center"/>
              <w:rPr>
                <w:rFonts w:eastAsia="Times New Roman" w:cs="Calibri"/>
                <w:sz w:val="20"/>
                <w:szCs w:val="20"/>
                <w:lang w:val="en-US"/>
              </w:rPr>
            </w:pPr>
            <w:r w:rsidRPr="005950B3">
              <w:rPr>
                <w:rFonts w:eastAsia="Times New Roman" w:cs="Calibri"/>
                <w:sz w:val="20"/>
                <w:szCs w:val="20"/>
                <w:lang w:val="en-US"/>
              </w:rPr>
              <w:t>6</w:t>
            </w:r>
          </w:p>
        </w:tc>
        <w:tc>
          <w:tcPr>
            <w:tcW w:w="5449" w:type="dxa"/>
            <w:tcBorders>
              <w:top w:val="nil"/>
              <w:left w:val="nil"/>
              <w:bottom w:val="double" w:sz="6" w:space="0" w:color="E26B0A"/>
              <w:right w:val="double" w:sz="6" w:space="0" w:color="E26B0A"/>
            </w:tcBorders>
            <w:shd w:val="clear" w:color="auto" w:fill="auto"/>
            <w:noWrap/>
            <w:vAlign w:val="bottom"/>
            <w:hideMark/>
          </w:tcPr>
          <w:p w14:paraId="77B09DEB" w14:textId="77777777" w:rsidR="005950B3" w:rsidRPr="005950B3" w:rsidRDefault="005950B3" w:rsidP="005950B3">
            <w:pPr>
              <w:rPr>
                <w:rFonts w:eastAsia="Times New Roman" w:cs="Calibri"/>
                <w:sz w:val="20"/>
                <w:szCs w:val="20"/>
                <w:lang w:val="en-US"/>
              </w:rPr>
            </w:pPr>
            <w:r w:rsidRPr="005950B3">
              <w:rPr>
                <w:rFonts w:eastAsia="Times New Roman" w:cs="Calibri"/>
                <w:sz w:val="20"/>
                <w:szCs w:val="20"/>
                <w:lang w:val="en-US"/>
              </w:rPr>
              <w:t>Общо разходи</w:t>
            </w:r>
          </w:p>
        </w:tc>
        <w:tc>
          <w:tcPr>
            <w:tcW w:w="824" w:type="dxa"/>
            <w:tcBorders>
              <w:top w:val="nil"/>
              <w:left w:val="nil"/>
              <w:bottom w:val="double" w:sz="6" w:space="0" w:color="E26B0A"/>
              <w:right w:val="double" w:sz="6" w:space="0" w:color="E26B0A"/>
            </w:tcBorders>
            <w:shd w:val="clear" w:color="000000" w:fill="FDE9D9"/>
            <w:noWrap/>
            <w:vAlign w:val="bottom"/>
            <w:hideMark/>
          </w:tcPr>
          <w:p w14:paraId="4DA73C4D"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2042</w:t>
            </w:r>
          </w:p>
        </w:tc>
        <w:tc>
          <w:tcPr>
            <w:tcW w:w="824" w:type="dxa"/>
            <w:tcBorders>
              <w:top w:val="nil"/>
              <w:left w:val="nil"/>
              <w:bottom w:val="double" w:sz="6" w:space="0" w:color="E26B0A"/>
              <w:right w:val="double" w:sz="6" w:space="0" w:color="E26B0A"/>
            </w:tcBorders>
            <w:shd w:val="clear" w:color="000000" w:fill="FDE9D9"/>
            <w:noWrap/>
            <w:vAlign w:val="bottom"/>
            <w:hideMark/>
          </w:tcPr>
          <w:p w14:paraId="23C14099"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1760</w:t>
            </w:r>
          </w:p>
        </w:tc>
        <w:tc>
          <w:tcPr>
            <w:tcW w:w="968" w:type="dxa"/>
            <w:tcBorders>
              <w:top w:val="nil"/>
              <w:left w:val="nil"/>
              <w:bottom w:val="double" w:sz="6" w:space="0" w:color="E26B0A"/>
              <w:right w:val="double" w:sz="6" w:space="0" w:color="E26B0A"/>
            </w:tcBorders>
            <w:shd w:val="clear" w:color="000000" w:fill="FABF8F"/>
            <w:noWrap/>
            <w:vAlign w:val="bottom"/>
            <w:hideMark/>
          </w:tcPr>
          <w:p w14:paraId="47D7F344"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282</w:t>
            </w:r>
          </w:p>
        </w:tc>
        <w:tc>
          <w:tcPr>
            <w:tcW w:w="931" w:type="dxa"/>
            <w:tcBorders>
              <w:top w:val="nil"/>
              <w:left w:val="nil"/>
              <w:bottom w:val="double" w:sz="6" w:space="0" w:color="E26B0A"/>
              <w:right w:val="double" w:sz="6" w:space="0" w:color="E26B0A"/>
            </w:tcBorders>
            <w:shd w:val="clear" w:color="000000" w:fill="FABF8F"/>
            <w:noWrap/>
            <w:vAlign w:val="bottom"/>
            <w:hideMark/>
          </w:tcPr>
          <w:p w14:paraId="429C4EB2"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16,0%</w:t>
            </w:r>
          </w:p>
        </w:tc>
        <w:tc>
          <w:tcPr>
            <w:tcW w:w="222" w:type="dxa"/>
            <w:vAlign w:val="center"/>
            <w:hideMark/>
          </w:tcPr>
          <w:p w14:paraId="0183D816" w14:textId="77777777" w:rsidR="005950B3" w:rsidRPr="005950B3" w:rsidRDefault="005950B3" w:rsidP="005950B3">
            <w:pPr>
              <w:rPr>
                <w:rFonts w:ascii="Times New Roman" w:eastAsia="Times New Roman" w:hAnsi="Times New Roman"/>
                <w:sz w:val="20"/>
                <w:szCs w:val="20"/>
                <w:lang w:val="en-US"/>
              </w:rPr>
            </w:pPr>
          </w:p>
        </w:tc>
      </w:tr>
      <w:tr w:rsidR="005950B3" w:rsidRPr="005950B3" w14:paraId="148A3EF4" w14:textId="77777777" w:rsidTr="005950B3">
        <w:trPr>
          <w:trHeight w:val="300"/>
        </w:trPr>
        <w:tc>
          <w:tcPr>
            <w:tcW w:w="706" w:type="dxa"/>
            <w:tcBorders>
              <w:top w:val="nil"/>
              <w:left w:val="double" w:sz="6" w:space="0" w:color="E26B0A"/>
              <w:bottom w:val="double" w:sz="6" w:space="0" w:color="E26B0A"/>
              <w:right w:val="double" w:sz="6" w:space="0" w:color="E26B0A"/>
            </w:tcBorders>
            <w:shd w:val="clear" w:color="auto" w:fill="auto"/>
            <w:noWrap/>
            <w:vAlign w:val="bottom"/>
            <w:hideMark/>
          </w:tcPr>
          <w:p w14:paraId="7F2C839C" w14:textId="77777777" w:rsidR="005950B3" w:rsidRPr="005950B3" w:rsidRDefault="005950B3" w:rsidP="005950B3">
            <w:pPr>
              <w:jc w:val="center"/>
              <w:rPr>
                <w:rFonts w:eastAsia="Times New Roman" w:cs="Calibri"/>
                <w:sz w:val="20"/>
                <w:szCs w:val="20"/>
                <w:lang w:val="en-US"/>
              </w:rPr>
            </w:pPr>
            <w:r w:rsidRPr="005950B3">
              <w:rPr>
                <w:rFonts w:eastAsia="Times New Roman" w:cs="Calibri"/>
                <w:sz w:val="20"/>
                <w:szCs w:val="20"/>
                <w:lang w:val="en-US"/>
              </w:rPr>
              <w:lastRenderedPageBreak/>
              <w:t>7</w:t>
            </w:r>
          </w:p>
        </w:tc>
        <w:tc>
          <w:tcPr>
            <w:tcW w:w="5449" w:type="dxa"/>
            <w:tcBorders>
              <w:top w:val="nil"/>
              <w:left w:val="nil"/>
              <w:bottom w:val="double" w:sz="6" w:space="0" w:color="E26B0A"/>
              <w:right w:val="double" w:sz="6" w:space="0" w:color="E26B0A"/>
            </w:tcBorders>
            <w:shd w:val="clear" w:color="auto" w:fill="auto"/>
            <w:noWrap/>
            <w:vAlign w:val="bottom"/>
            <w:hideMark/>
          </w:tcPr>
          <w:p w14:paraId="69C1E19E" w14:textId="77777777" w:rsidR="005950B3" w:rsidRPr="005950B3" w:rsidRDefault="005950B3" w:rsidP="005950B3">
            <w:pPr>
              <w:rPr>
                <w:rFonts w:eastAsia="Times New Roman" w:cs="Calibri"/>
                <w:sz w:val="20"/>
                <w:szCs w:val="20"/>
                <w:lang w:val="en-US"/>
              </w:rPr>
            </w:pPr>
            <w:r w:rsidRPr="005950B3">
              <w:rPr>
                <w:rFonts w:eastAsia="Times New Roman" w:cs="Calibri"/>
                <w:sz w:val="20"/>
                <w:szCs w:val="20"/>
                <w:lang w:val="en-US"/>
              </w:rPr>
              <w:t>Собствен капитал</w:t>
            </w:r>
          </w:p>
        </w:tc>
        <w:tc>
          <w:tcPr>
            <w:tcW w:w="824" w:type="dxa"/>
            <w:tcBorders>
              <w:top w:val="nil"/>
              <w:left w:val="nil"/>
              <w:bottom w:val="double" w:sz="6" w:space="0" w:color="E26B0A"/>
              <w:right w:val="double" w:sz="6" w:space="0" w:color="E26B0A"/>
            </w:tcBorders>
            <w:shd w:val="clear" w:color="000000" w:fill="FDE9D9"/>
            <w:noWrap/>
            <w:vAlign w:val="bottom"/>
            <w:hideMark/>
          </w:tcPr>
          <w:p w14:paraId="4DF9649B"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418</w:t>
            </w:r>
          </w:p>
        </w:tc>
        <w:tc>
          <w:tcPr>
            <w:tcW w:w="824" w:type="dxa"/>
            <w:tcBorders>
              <w:top w:val="nil"/>
              <w:left w:val="nil"/>
              <w:bottom w:val="double" w:sz="6" w:space="0" w:color="E26B0A"/>
              <w:right w:val="double" w:sz="6" w:space="0" w:color="E26B0A"/>
            </w:tcBorders>
            <w:shd w:val="clear" w:color="000000" w:fill="FDE9D9"/>
            <w:noWrap/>
            <w:vAlign w:val="bottom"/>
            <w:hideMark/>
          </w:tcPr>
          <w:p w14:paraId="739571F6"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194</w:t>
            </w:r>
          </w:p>
        </w:tc>
        <w:tc>
          <w:tcPr>
            <w:tcW w:w="968" w:type="dxa"/>
            <w:tcBorders>
              <w:top w:val="nil"/>
              <w:left w:val="nil"/>
              <w:bottom w:val="double" w:sz="6" w:space="0" w:color="E26B0A"/>
              <w:right w:val="double" w:sz="6" w:space="0" w:color="E26B0A"/>
            </w:tcBorders>
            <w:shd w:val="clear" w:color="000000" w:fill="FABF8F"/>
            <w:noWrap/>
            <w:vAlign w:val="bottom"/>
            <w:hideMark/>
          </w:tcPr>
          <w:p w14:paraId="4741DA89"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224</w:t>
            </w:r>
          </w:p>
        </w:tc>
        <w:tc>
          <w:tcPr>
            <w:tcW w:w="931" w:type="dxa"/>
            <w:tcBorders>
              <w:top w:val="nil"/>
              <w:left w:val="nil"/>
              <w:bottom w:val="double" w:sz="6" w:space="0" w:color="E26B0A"/>
              <w:right w:val="double" w:sz="6" w:space="0" w:color="E26B0A"/>
            </w:tcBorders>
            <w:shd w:val="clear" w:color="000000" w:fill="FABF8F"/>
            <w:noWrap/>
            <w:vAlign w:val="bottom"/>
            <w:hideMark/>
          </w:tcPr>
          <w:p w14:paraId="44699076"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115,5%</w:t>
            </w:r>
          </w:p>
        </w:tc>
        <w:tc>
          <w:tcPr>
            <w:tcW w:w="222" w:type="dxa"/>
            <w:vAlign w:val="center"/>
            <w:hideMark/>
          </w:tcPr>
          <w:p w14:paraId="20D7DEC7" w14:textId="77777777" w:rsidR="005950B3" w:rsidRPr="005950B3" w:rsidRDefault="005950B3" w:rsidP="005950B3">
            <w:pPr>
              <w:rPr>
                <w:rFonts w:ascii="Times New Roman" w:eastAsia="Times New Roman" w:hAnsi="Times New Roman"/>
                <w:sz w:val="20"/>
                <w:szCs w:val="20"/>
                <w:lang w:val="en-US"/>
              </w:rPr>
            </w:pPr>
          </w:p>
        </w:tc>
      </w:tr>
      <w:tr w:rsidR="005950B3" w:rsidRPr="005950B3" w14:paraId="39CE2358" w14:textId="77777777" w:rsidTr="005950B3">
        <w:trPr>
          <w:trHeight w:val="300"/>
        </w:trPr>
        <w:tc>
          <w:tcPr>
            <w:tcW w:w="706" w:type="dxa"/>
            <w:tcBorders>
              <w:top w:val="nil"/>
              <w:left w:val="double" w:sz="6" w:space="0" w:color="E26B0A"/>
              <w:bottom w:val="double" w:sz="6" w:space="0" w:color="E26B0A"/>
              <w:right w:val="double" w:sz="6" w:space="0" w:color="E26B0A"/>
            </w:tcBorders>
            <w:shd w:val="clear" w:color="auto" w:fill="auto"/>
            <w:noWrap/>
            <w:vAlign w:val="bottom"/>
            <w:hideMark/>
          </w:tcPr>
          <w:p w14:paraId="169DD522" w14:textId="77777777" w:rsidR="005950B3" w:rsidRPr="005950B3" w:rsidRDefault="005950B3" w:rsidP="005950B3">
            <w:pPr>
              <w:jc w:val="center"/>
              <w:rPr>
                <w:rFonts w:eastAsia="Times New Roman" w:cs="Calibri"/>
                <w:sz w:val="20"/>
                <w:szCs w:val="20"/>
                <w:lang w:val="en-US"/>
              </w:rPr>
            </w:pPr>
            <w:r w:rsidRPr="005950B3">
              <w:rPr>
                <w:rFonts w:eastAsia="Times New Roman" w:cs="Calibri"/>
                <w:sz w:val="20"/>
                <w:szCs w:val="20"/>
                <w:lang w:val="en-US"/>
              </w:rPr>
              <w:t>8</w:t>
            </w:r>
          </w:p>
        </w:tc>
        <w:tc>
          <w:tcPr>
            <w:tcW w:w="5449" w:type="dxa"/>
            <w:tcBorders>
              <w:top w:val="nil"/>
              <w:left w:val="nil"/>
              <w:bottom w:val="double" w:sz="6" w:space="0" w:color="E26B0A"/>
              <w:right w:val="double" w:sz="6" w:space="0" w:color="E26B0A"/>
            </w:tcBorders>
            <w:shd w:val="clear" w:color="auto" w:fill="auto"/>
            <w:noWrap/>
            <w:vAlign w:val="bottom"/>
            <w:hideMark/>
          </w:tcPr>
          <w:p w14:paraId="40063F8F" w14:textId="77777777" w:rsidR="005950B3" w:rsidRPr="005950B3" w:rsidRDefault="005950B3" w:rsidP="005950B3">
            <w:pPr>
              <w:rPr>
                <w:rFonts w:eastAsia="Times New Roman" w:cs="Calibri"/>
                <w:sz w:val="20"/>
                <w:szCs w:val="20"/>
                <w:lang w:val="en-US"/>
              </w:rPr>
            </w:pPr>
            <w:r w:rsidRPr="005950B3">
              <w:rPr>
                <w:rFonts w:eastAsia="Times New Roman" w:cs="Calibri"/>
                <w:sz w:val="20"/>
                <w:szCs w:val="20"/>
                <w:lang w:val="en-US"/>
              </w:rPr>
              <w:t>Пасиви (дългосрочни и краткосрочни)</w:t>
            </w:r>
          </w:p>
        </w:tc>
        <w:tc>
          <w:tcPr>
            <w:tcW w:w="824" w:type="dxa"/>
            <w:tcBorders>
              <w:top w:val="nil"/>
              <w:left w:val="nil"/>
              <w:bottom w:val="double" w:sz="6" w:space="0" w:color="E26B0A"/>
              <w:right w:val="double" w:sz="6" w:space="0" w:color="E26B0A"/>
            </w:tcBorders>
            <w:shd w:val="clear" w:color="000000" w:fill="FDE9D9"/>
            <w:noWrap/>
            <w:vAlign w:val="bottom"/>
            <w:hideMark/>
          </w:tcPr>
          <w:p w14:paraId="4AC1325B"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737</w:t>
            </w:r>
          </w:p>
        </w:tc>
        <w:tc>
          <w:tcPr>
            <w:tcW w:w="824" w:type="dxa"/>
            <w:tcBorders>
              <w:top w:val="nil"/>
              <w:left w:val="nil"/>
              <w:bottom w:val="double" w:sz="6" w:space="0" w:color="E26B0A"/>
              <w:right w:val="double" w:sz="6" w:space="0" w:color="E26B0A"/>
            </w:tcBorders>
            <w:shd w:val="clear" w:color="000000" w:fill="FDE9D9"/>
            <w:noWrap/>
            <w:vAlign w:val="bottom"/>
            <w:hideMark/>
          </w:tcPr>
          <w:p w14:paraId="70B5ABFD"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755</w:t>
            </w:r>
          </w:p>
        </w:tc>
        <w:tc>
          <w:tcPr>
            <w:tcW w:w="968" w:type="dxa"/>
            <w:tcBorders>
              <w:top w:val="nil"/>
              <w:left w:val="nil"/>
              <w:bottom w:val="double" w:sz="6" w:space="0" w:color="E26B0A"/>
              <w:right w:val="double" w:sz="6" w:space="0" w:color="E26B0A"/>
            </w:tcBorders>
            <w:shd w:val="clear" w:color="000000" w:fill="FABF8F"/>
            <w:noWrap/>
            <w:vAlign w:val="bottom"/>
            <w:hideMark/>
          </w:tcPr>
          <w:p w14:paraId="04940E70"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-18</w:t>
            </w:r>
          </w:p>
        </w:tc>
        <w:tc>
          <w:tcPr>
            <w:tcW w:w="931" w:type="dxa"/>
            <w:tcBorders>
              <w:top w:val="nil"/>
              <w:left w:val="nil"/>
              <w:bottom w:val="double" w:sz="6" w:space="0" w:color="E26B0A"/>
              <w:right w:val="double" w:sz="6" w:space="0" w:color="E26B0A"/>
            </w:tcBorders>
            <w:shd w:val="clear" w:color="000000" w:fill="FABF8F"/>
            <w:noWrap/>
            <w:vAlign w:val="bottom"/>
            <w:hideMark/>
          </w:tcPr>
          <w:p w14:paraId="3EFA862D"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-2,4%</w:t>
            </w:r>
          </w:p>
        </w:tc>
        <w:tc>
          <w:tcPr>
            <w:tcW w:w="222" w:type="dxa"/>
            <w:vAlign w:val="center"/>
            <w:hideMark/>
          </w:tcPr>
          <w:p w14:paraId="2BFA3BA0" w14:textId="77777777" w:rsidR="005950B3" w:rsidRPr="005950B3" w:rsidRDefault="005950B3" w:rsidP="005950B3">
            <w:pPr>
              <w:rPr>
                <w:rFonts w:ascii="Times New Roman" w:eastAsia="Times New Roman" w:hAnsi="Times New Roman"/>
                <w:sz w:val="20"/>
                <w:szCs w:val="20"/>
                <w:lang w:val="en-US"/>
              </w:rPr>
            </w:pPr>
          </w:p>
        </w:tc>
      </w:tr>
      <w:tr w:rsidR="005950B3" w:rsidRPr="005950B3" w14:paraId="58340A82" w14:textId="77777777" w:rsidTr="005950B3">
        <w:trPr>
          <w:trHeight w:val="300"/>
        </w:trPr>
        <w:tc>
          <w:tcPr>
            <w:tcW w:w="706" w:type="dxa"/>
            <w:tcBorders>
              <w:top w:val="nil"/>
              <w:left w:val="double" w:sz="6" w:space="0" w:color="E26B0A"/>
              <w:bottom w:val="double" w:sz="6" w:space="0" w:color="E26B0A"/>
              <w:right w:val="double" w:sz="6" w:space="0" w:color="E26B0A"/>
            </w:tcBorders>
            <w:shd w:val="clear" w:color="auto" w:fill="auto"/>
            <w:noWrap/>
            <w:vAlign w:val="bottom"/>
            <w:hideMark/>
          </w:tcPr>
          <w:p w14:paraId="342EC5FB" w14:textId="77777777" w:rsidR="005950B3" w:rsidRPr="005950B3" w:rsidRDefault="005950B3" w:rsidP="005950B3">
            <w:pPr>
              <w:jc w:val="center"/>
              <w:rPr>
                <w:rFonts w:eastAsia="Times New Roman" w:cs="Calibri"/>
                <w:sz w:val="20"/>
                <w:szCs w:val="20"/>
                <w:lang w:val="en-US"/>
              </w:rPr>
            </w:pPr>
            <w:r w:rsidRPr="005950B3">
              <w:rPr>
                <w:rFonts w:eastAsia="Times New Roman" w:cs="Calibri"/>
                <w:sz w:val="20"/>
                <w:szCs w:val="20"/>
                <w:lang w:val="en-US"/>
              </w:rPr>
              <w:t>9</w:t>
            </w:r>
          </w:p>
        </w:tc>
        <w:tc>
          <w:tcPr>
            <w:tcW w:w="5449" w:type="dxa"/>
            <w:tcBorders>
              <w:top w:val="nil"/>
              <w:left w:val="nil"/>
              <w:bottom w:val="double" w:sz="6" w:space="0" w:color="E26B0A"/>
              <w:right w:val="double" w:sz="6" w:space="0" w:color="E26B0A"/>
            </w:tcBorders>
            <w:shd w:val="clear" w:color="auto" w:fill="auto"/>
            <w:noWrap/>
            <w:vAlign w:val="bottom"/>
            <w:hideMark/>
          </w:tcPr>
          <w:p w14:paraId="016DEDF4" w14:textId="77777777" w:rsidR="005950B3" w:rsidRPr="005950B3" w:rsidRDefault="005950B3" w:rsidP="005950B3">
            <w:pPr>
              <w:rPr>
                <w:rFonts w:eastAsia="Times New Roman" w:cs="Calibri"/>
                <w:sz w:val="20"/>
                <w:szCs w:val="20"/>
                <w:lang w:val="en-US"/>
              </w:rPr>
            </w:pPr>
            <w:r w:rsidRPr="005950B3">
              <w:rPr>
                <w:rFonts w:eastAsia="Times New Roman" w:cs="Calibri"/>
                <w:sz w:val="20"/>
                <w:szCs w:val="20"/>
                <w:lang w:val="en-US"/>
              </w:rPr>
              <w:t>Обща сума на активите</w:t>
            </w:r>
          </w:p>
        </w:tc>
        <w:tc>
          <w:tcPr>
            <w:tcW w:w="824" w:type="dxa"/>
            <w:tcBorders>
              <w:top w:val="nil"/>
              <w:left w:val="nil"/>
              <w:bottom w:val="double" w:sz="6" w:space="0" w:color="E26B0A"/>
              <w:right w:val="double" w:sz="6" w:space="0" w:color="E26B0A"/>
            </w:tcBorders>
            <w:shd w:val="clear" w:color="000000" w:fill="FDE9D9"/>
            <w:noWrap/>
            <w:vAlign w:val="bottom"/>
            <w:hideMark/>
          </w:tcPr>
          <w:p w14:paraId="714E4CDB"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1155</w:t>
            </w:r>
          </w:p>
        </w:tc>
        <w:tc>
          <w:tcPr>
            <w:tcW w:w="824" w:type="dxa"/>
            <w:tcBorders>
              <w:top w:val="nil"/>
              <w:left w:val="nil"/>
              <w:bottom w:val="double" w:sz="6" w:space="0" w:color="E26B0A"/>
              <w:right w:val="double" w:sz="6" w:space="0" w:color="E26B0A"/>
            </w:tcBorders>
            <w:shd w:val="clear" w:color="000000" w:fill="FDE9D9"/>
            <w:noWrap/>
            <w:vAlign w:val="bottom"/>
            <w:hideMark/>
          </w:tcPr>
          <w:p w14:paraId="63E755A2"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949</w:t>
            </w:r>
          </w:p>
        </w:tc>
        <w:tc>
          <w:tcPr>
            <w:tcW w:w="968" w:type="dxa"/>
            <w:tcBorders>
              <w:top w:val="nil"/>
              <w:left w:val="nil"/>
              <w:bottom w:val="double" w:sz="6" w:space="0" w:color="E26B0A"/>
              <w:right w:val="double" w:sz="6" w:space="0" w:color="E26B0A"/>
            </w:tcBorders>
            <w:shd w:val="clear" w:color="000000" w:fill="FABF8F"/>
            <w:noWrap/>
            <w:vAlign w:val="bottom"/>
            <w:hideMark/>
          </w:tcPr>
          <w:p w14:paraId="3CCD18C5"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206</w:t>
            </w:r>
          </w:p>
        </w:tc>
        <w:tc>
          <w:tcPr>
            <w:tcW w:w="931" w:type="dxa"/>
            <w:tcBorders>
              <w:top w:val="nil"/>
              <w:left w:val="nil"/>
              <w:bottom w:val="double" w:sz="6" w:space="0" w:color="E26B0A"/>
              <w:right w:val="double" w:sz="6" w:space="0" w:color="E26B0A"/>
            </w:tcBorders>
            <w:shd w:val="clear" w:color="000000" w:fill="FABF8F"/>
            <w:noWrap/>
            <w:vAlign w:val="bottom"/>
            <w:hideMark/>
          </w:tcPr>
          <w:p w14:paraId="233C0D24"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21,7%</w:t>
            </w:r>
          </w:p>
        </w:tc>
        <w:tc>
          <w:tcPr>
            <w:tcW w:w="222" w:type="dxa"/>
            <w:vAlign w:val="center"/>
            <w:hideMark/>
          </w:tcPr>
          <w:p w14:paraId="51D0F42C" w14:textId="77777777" w:rsidR="005950B3" w:rsidRPr="005950B3" w:rsidRDefault="005950B3" w:rsidP="005950B3">
            <w:pPr>
              <w:rPr>
                <w:rFonts w:ascii="Times New Roman" w:eastAsia="Times New Roman" w:hAnsi="Times New Roman"/>
                <w:sz w:val="20"/>
                <w:szCs w:val="20"/>
                <w:lang w:val="en-US"/>
              </w:rPr>
            </w:pPr>
          </w:p>
        </w:tc>
      </w:tr>
      <w:tr w:rsidR="005950B3" w:rsidRPr="005950B3" w14:paraId="1DCBBA78" w14:textId="77777777" w:rsidTr="005950B3">
        <w:trPr>
          <w:trHeight w:val="300"/>
        </w:trPr>
        <w:tc>
          <w:tcPr>
            <w:tcW w:w="706" w:type="dxa"/>
            <w:tcBorders>
              <w:top w:val="nil"/>
              <w:left w:val="double" w:sz="6" w:space="0" w:color="E26B0A"/>
              <w:bottom w:val="double" w:sz="6" w:space="0" w:color="E26B0A"/>
              <w:right w:val="double" w:sz="6" w:space="0" w:color="E26B0A"/>
            </w:tcBorders>
            <w:shd w:val="clear" w:color="auto" w:fill="auto"/>
            <w:noWrap/>
            <w:vAlign w:val="bottom"/>
            <w:hideMark/>
          </w:tcPr>
          <w:p w14:paraId="5F8404DA" w14:textId="77777777" w:rsidR="005950B3" w:rsidRPr="005950B3" w:rsidRDefault="005950B3" w:rsidP="005950B3">
            <w:pPr>
              <w:jc w:val="center"/>
              <w:rPr>
                <w:rFonts w:eastAsia="Times New Roman" w:cs="Calibri"/>
                <w:sz w:val="20"/>
                <w:szCs w:val="20"/>
                <w:lang w:val="en-US"/>
              </w:rPr>
            </w:pPr>
            <w:r w:rsidRPr="005950B3">
              <w:rPr>
                <w:rFonts w:eastAsia="Times New Roman" w:cs="Calibri"/>
                <w:sz w:val="20"/>
                <w:szCs w:val="20"/>
                <w:lang w:val="en-US"/>
              </w:rPr>
              <w:t>10</w:t>
            </w:r>
          </w:p>
        </w:tc>
        <w:tc>
          <w:tcPr>
            <w:tcW w:w="5449" w:type="dxa"/>
            <w:tcBorders>
              <w:top w:val="nil"/>
              <w:left w:val="nil"/>
              <w:bottom w:val="double" w:sz="6" w:space="0" w:color="E26B0A"/>
              <w:right w:val="double" w:sz="6" w:space="0" w:color="E26B0A"/>
            </w:tcBorders>
            <w:shd w:val="clear" w:color="auto" w:fill="auto"/>
            <w:noWrap/>
            <w:vAlign w:val="bottom"/>
            <w:hideMark/>
          </w:tcPr>
          <w:p w14:paraId="66BB010D" w14:textId="77777777" w:rsidR="005950B3" w:rsidRPr="005950B3" w:rsidRDefault="005950B3" w:rsidP="005950B3">
            <w:pPr>
              <w:rPr>
                <w:rFonts w:eastAsia="Times New Roman" w:cs="Calibri"/>
                <w:sz w:val="20"/>
                <w:szCs w:val="20"/>
                <w:lang w:val="en-US"/>
              </w:rPr>
            </w:pPr>
            <w:r w:rsidRPr="005950B3">
              <w:rPr>
                <w:rFonts w:eastAsia="Times New Roman" w:cs="Calibri"/>
                <w:sz w:val="20"/>
                <w:szCs w:val="20"/>
                <w:lang w:val="en-US"/>
              </w:rPr>
              <w:t>Краткотрайни активи</w:t>
            </w:r>
          </w:p>
        </w:tc>
        <w:tc>
          <w:tcPr>
            <w:tcW w:w="824" w:type="dxa"/>
            <w:tcBorders>
              <w:top w:val="nil"/>
              <w:left w:val="nil"/>
              <w:bottom w:val="double" w:sz="6" w:space="0" w:color="E26B0A"/>
              <w:right w:val="double" w:sz="6" w:space="0" w:color="E26B0A"/>
            </w:tcBorders>
            <w:shd w:val="clear" w:color="000000" w:fill="FDE9D9"/>
            <w:noWrap/>
            <w:vAlign w:val="bottom"/>
            <w:hideMark/>
          </w:tcPr>
          <w:p w14:paraId="2F24321B"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422</w:t>
            </w:r>
          </w:p>
        </w:tc>
        <w:tc>
          <w:tcPr>
            <w:tcW w:w="824" w:type="dxa"/>
            <w:tcBorders>
              <w:top w:val="nil"/>
              <w:left w:val="nil"/>
              <w:bottom w:val="double" w:sz="6" w:space="0" w:color="E26B0A"/>
              <w:right w:val="double" w:sz="6" w:space="0" w:color="E26B0A"/>
            </w:tcBorders>
            <w:shd w:val="clear" w:color="000000" w:fill="FDE9D9"/>
            <w:noWrap/>
            <w:vAlign w:val="bottom"/>
            <w:hideMark/>
          </w:tcPr>
          <w:p w14:paraId="1AA2FC3E"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150</w:t>
            </w:r>
          </w:p>
        </w:tc>
        <w:tc>
          <w:tcPr>
            <w:tcW w:w="968" w:type="dxa"/>
            <w:tcBorders>
              <w:top w:val="nil"/>
              <w:left w:val="nil"/>
              <w:bottom w:val="double" w:sz="6" w:space="0" w:color="E26B0A"/>
              <w:right w:val="double" w:sz="6" w:space="0" w:color="E26B0A"/>
            </w:tcBorders>
            <w:shd w:val="clear" w:color="000000" w:fill="FABF8F"/>
            <w:noWrap/>
            <w:vAlign w:val="bottom"/>
            <w:hideMark/>
          </w:tcPr>
          <w:p w14:paraId="79B3A678"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272</w:t>
            </w:r>
          </w:p>
        </w:tc>
        <w:tc>
          <w:tcPr>
            <w:tcW w:w="931" w:type="dxa"/>
            <w:tcBorders>
              <w:top w:val="nil"/>
              <w:left w:val="nil"/>
              <w:bottom w:val="double" w:sz="6" w:space="0" w:color="E26B0A"/>
              <w:right w:val="double" w:sz="6" w:space="0" w:color="E26B0A"/>
            </w:tcBorders>
            <w:shd w:val="clear" w:color="000000" w:fill="FABF8F"/>
            <w:noWrap/>
            <w:vAlign w:val="bottom"/>
            <w:hideMark/>
          </w:tcPr>
          <w:p w14:paraId="7C064286"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181,3%</w:t>
            </w:r>
          </w:p>
        </w:tc>
        <w:tc>
          <w:tcPr>
            <w:tcW w:w="222" w:type="dxa"/>
            <w:vAlign w:val="center"/>
            <w:hideMark/>
          </w:tcPr>
          <w:p w14:paraId="1733157A" w14:textId="77777777" w:rsidR="005950B3" w:rsidRPr="005950B3" w:rsidRDefault="005950B3" w:rsidP="005950B3">
            <w:pPr>
              <w:rPr>
                <w:rFonts w:ascii="Times New Roman" w:eastAsia="Times New Roman" w:hAnsi="Times New Roman"/>
                <w:sz w:val="20"/>
                <w:szCs w:val="20"/>
                <w:lang w:val="en-US"/>
              </w:rPr>
            </w:pPr>
          </w:p>
        </w:tc>
      </w:tr>
      <w:tr w:rsidR="005950B3" w:rsidRPr="005950B3" w14:paraId="5E03F8A9" w14:textId="77777777" w:rsidTr="005950B3">
        <w:trPr>
          <w:trHeight w:val="300"/>
        </w:trPr>
        <w:tc>
          <w:tcPr>
            <w:tcW w:w="706" w:type="dxa"/>
            <w:tcBorders>
              <w:top w:val="nil"/>
              <w:left w:val="double" w:sz="6" w:space="0" w:color="E26B0A"/>
              <w:bottom w:val="double" w:sz="6" w:space="0" w:color="E26B0A"/>
              <w:right w:val="double" w:sz="6" w:space="0" w:color="E26B0A"/>
            </w:tcBorders>
            <w:shd w:val="clear" w:color="auto" w:fill="auto"/>
            <w:noWrap/>
            <w:vAlign w:val="bottom"/>
            <w:hideMark/>
          </w:tcPr>
          <w:p w14:paraId="2BBD5C92" w14:textId="77777777" w:rsidR="005950B3" w:rsidRPr="005950B3" w:rsidRDefault="005950B3" w:rsidP="005950B3">
            <w:pPr>
              <w:jc w:val="center"/>
              <w:rPr>
                <w:rFonts w:eastAsia="Times New Roman" w:cs="Calibri"/>
                <w:sz w:val="20"/>
                <w:szCs w:val="20"/>
                <w:lang w:val="en-US"/>
              </w:rPr>
            </w:pPr>
            <w:r w:rsidRPr="005950B3">
              <w:rPr>
                <w:rFonts w:eastAsia="Times New Roman" w:cs="Calibri"/>
                <w:sz w:val="20"/>
                <w:szCs w:val="20"/>
                <w:lang w:val="en-US"/>
              </w:rPr>
              <w:t>11</w:t>
            </w:r>
          </w:p>
        </w:tc>
        <w:tc>
          <w:tcPr>
            <w:tcW w:w="5449" w:type="dxa"/>
            <w:tcBorders>
              <w:top w:val="nil"/>
              <w:left w:val="nil"/>
              <w:bottom w:val="double" w:sz="6" w:space="0" w:color="E26B0A"/>
              <w:right w:val="double" w:sz="6" w:space="0" w:color="E26B0A"/>
            </w:tcBorders>
            <w:shd w:val="clear" w:color="auto" w:fill="auto"/>
            <w:noWrap/>
            <w:vAlign w:val="bottom"/>
            <w:hideMark/>
          </w:tcPr>
          <w:p w14:paraId="1A9511C0" w14:textId="77777777" w:rsidR="005950B3" w:rsidRPr="005950B3" w:rsidRDefault="005950B3" w:rsidP="005950B3">
            <w:pPr>
              <w:rPr>
                <w:rFonts w:eastAsia="Times New Roman" w:cs="Calibri"/>
                <w:sz w:val="20"/>
                <w:szCs w:val="20"/>
                <w:lang w:val="en-US"/>
              </w:rPr>
            </w:pPr>
            <w:r w:rsidRPr="005950B3">
              <w:rPr>
                <w:rFonts w:eastAsia="Times New Roman" w:cs="Calibri"/>
                <w:sz w:val="20"/>
                <w:szCs w:val="20"/>
                <w:lang w:val="en-US"/>
              </w:rPr>
              <w:t>Краткосрочни задължения</w:t>
            </w:r>
          </w:p>
        </w:tc>
        <w:tc>
          <w:tcPr>
            <w:tcW w:w="824" w:type="dxa"/>
            <w:tcBorders>
              <w:top w:val="nil"/>
              <w:left w:val="nil"/>
              <w:bottom w:val="double" w:sz="6" w:space="0" w:color="E26B0A"/>
              <w:right w:val="double" w:sz="6" w:space="0" w:color="E26B0A"/>
            </w:tcBorders>
            <w:shd w:val="clear" w:color="000000" w:fill="FDE9D9"/>
            <w:noWrap/>
            <w:vAlign w:val="bottom"/>
            <w:hideMark/>
          </w:tcPr>
          <w:p w14:paraId="63D6BBE1"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221</w:t>
            </w:r>
          </w:p>
        </w:tc>
        <w:tc>
          <w:tcPr>
            <w:tcW w:w="824" w:type="dxa"/>
            <w:tcBorders>
              <w:top w:val="nil"/>
              <w:left w:val="nil"/>
              <w:bottom w:val="double" w:sz="6" w:space="0" w:color="E26B0A"/>
              <w:right w:val="double" w:sz="6" w:space="0" w:color="E26B0A"/>
            </w:tcBorders>
            <w:shd w:val="clear" w:color="000000" w:fill="FDE9D9"/>
            <w:noWrap/>
            <w:vAlign w:val="bottom"/>
            <w:hideMark/>
          </w:tcPr>
          <w:p w14:paraId="3FF28B5E"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234</w:t>
            </w:r>
          </w:p>
        </w:tc>
        <w:tc>
          <w:tcPr>
            <w:tcW w:w="968" w:type="dxa"/>
            <w:tcBorders>
              <w:top w:val="nil"/>
              <w:left w:val="nil"/>
              <w:bottom w:val="double" w:sz="6" w:space="0" w:color="E26B0A"/>
              <w:right w:val="double" w:sz="6" w:space="0" w:color="E26B0A"/>
            </w:tcBorders>
            <w:shd w:val="clear" w:color="000000" w:fill="FABF8F"/>
            <w:noWrap/>
            <w:vAlign w:val="bottom"/>
            <w:hideMark/>
          </w:tcPr>
          <w:p w14:paraId="56D96CD0"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-13</w:t>
            </w:r>
          </w:p>
        </w:tc>
        <w:tc>
          <w:tcPr>
            <w:tcW w:w="931" w:type="dxa"/>
            <w:tcBorders>
              <w:top w:val="nil"/>
              <w:left w:val="nil"/>
              <w:bottom w:val="double" w:sz="6" w:space="0" w:color="E26B0A"/>
              <w:right w:val="double" w:sz="6" w:space="0" w:color="E26B0A"/>
            </w:tcBorders>
            <w:shd w:val="clear" w:color="000000" w:fill="FABF8F"/>
            <w:noWrap/>
            <w:vAlign w:val="bottom"/>
            <w:hideMark/>
          </w:tcPr>
          <w:p w14:paraId="6E305554"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-5,6%</w:t>
            </w:r>
          </w:p>
        </w:tc>
        <w:tc>
          <w:tcPr>
            <w:tcW w:w="222" w:type="dxa"/>
            <w:vAlign w:val="center"/>
            <w:hideMark/>
          </w:tcPr>
          <w:p w14:paraId="4F467BB0" w14:textId="77777777" w:rsidR="005950B3" w:rsidRPr="005950B3" w:rsidRDefault="005950B3" w:rsidP="005950B3">
            <w:pPr>
              <w:rPr>
                <w:rFonts w:ascii="Times New Roman" w:eastAsia="Times New Roman" w:hAnsi="Times New Roman"/>
                <w:sz w:val="20"/>
                <w:szCs w:val="20"/>
                <w:lang w:val="en-US"/>
              </w:rPr>
            </w:pPr>
          </w:p>
        </w:tc>
      </w:tr>
      <w:tr w:rsidR="005950B3" w:rsidRPr="005950B3" w14:paraId="0E083EAA" w14:textId="77777777" w:rsidTr="005950B3">
        <w:trPr>
          <w:trHeight w:val="300"/>
        </w:trPr>
        <w:tc>
          <w:tcPr>
            <w:tcW w:w="706" w:type="dxa"/>
            <w:tcBorders>
              <w:top w:val="nil"/>
              <w:left w:val="double" w:sz="6" w:space="0" w:color="E26B0A"/>
              <w:bottom w:val="double" w:sz="6" w:space="0" w:color="E26B0A"/>
              <w:right w:val="double" w:sz="6" w:space="0" w:color="E26B0A"/>
            </w:tcBorders>
            <w:shd w:val="clear" w:color="auto" w:fill="auto"/>
            <w:noWrap/>
            <w:vAlign w:val="bottom"/>
            <w:hideMark/>
          </w:tcPr>
          <w:p w14:paraId="5967508C" w14:textId="77777777" w:rsidR="005950B3" w:rsidRPr="005950B3" w:rsidRDefault="005950B3" w:rsidP="005950B3">
            <w:pPr>
              <w:jc w:val="center"/>
              <w:rPr>
                <w:rFonts w:eastAsia="Times New Roman" w:cs="Calibri"/>
                <w:sz w:val="20"/>
                <w:szCs w:val="20"/>
                <w:lang w:val="en-US"/>
              </w:rPr>
            </w:pPr>
            <w:r w:rsidRPr="005950B3">
              <w:rPr>
                <w:rFonts w:eastAsia="Times New Roman" w:cs="Calibri"/>
                <w:sz w:val="20"/>
                <w:szCs w:val="20"/>
                <w:lang w:val="en-US"/>
              </w:rPr>
              <w:t>12</w:t>
            </w:r>
          </w:p>
        </w:tc>
        <w:tc>
          <w:tcPr>
            <w:tcW w:w="5449" w:type="dxa"/>
            <w:tcBorders>
              <w:top w:val="nil"/>
              <w:left w:val="nil"/>
              <w:bottom w:val="double" w:sz="6" w:space="0" w:color="E26B0A"/>
              <w:right w:val="double" w:sz="6" w:space="0" w:color="E26B0A"/>
            </w:tcBorders>
            <w:shd w:val="clear" w:color="auto" w:fill="auto"/>
            <w:noWrap/>
            <w:vAlign w:val="bottom"/>
            <w:hideMark/>
          </w:tcPr>
          <w:p w14:paraId="6B89ECF0" w14:textId="77777777" w:rsidR="005950B3" w:rsidRPr="005950B3" w:rsidRDefault="005950B3" w:rsidP="005950B3">
            <w:pPr>
              <w:rPr>
                <w:rFonts w:eastAsia="Times New Roman" w:cs="Calibri"/>
                <w:sz w:val="20"/>
                <w:szCs w:val="20"/>
                <w:lang w:val="en-US"/>
              </w:rPr>
            </w:pPr>
            <w:r w:rsidRPr="005950B3">
              <w:rPr>
                <w:rFonts w:eastAsia="Times New Roman" w:cs="Calibri"/>
                <w:sz w:val="20"/>
                <w:szCs w:val="20"/>
                <w:lang w:val="en-US"/>
              </w:rPr>
              <w:t>Краткосрочни вземания</w:t>
            </w:r>
          </w:p>
        </w:tc>
        <w:tc>
          <w:tcPr>
            <w:tcW w:w="824" w:type="dxa"/>
            <w:tcBorders>
              <w:top w:val="nil"/>
              <w:left w:val="nil"/>
              <w:bottom w:val="double" w:sz="6" w:space="0" w:color="E26B0A"/>
              <w:right w:val="double" w:sz="6" w:space="0" w:color="E26B0A"/>
            </w:tcBorders>
            <w:shd w:val="clear" w:color="000000" w:fill="FDE9D9"/>
            <w:noWrap/>
            <w:vAlign w:val="bottom"/>
            <w:hideMark/>
          </w:tcPr>
          <w:p w14:paraId="2553AA7A"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157</w:t>
            </w:r>
          </w:p>
        </w:tc>
        <w:tc>
          <w:tcPr>
            <w:tcW w:w="824" w:type="dxa"/>
            <w:tcBorders>
              <w:top w:val="nil"/>
              <w:left w:val="nil"/>
              <w:bottom w:val="double" w:sz="6" w:space="0" w:color="E26B0A"/>
              <w:right w:val="double" w:sz="6" w:space="0" w:color="E26B0A"/>
            </w:tcBorders>
            <w:shd w:val="clear" w:color="000000" w:fill="FDE9D9"/>
            <w:noWrap/>
            <w:vAlign w:val="bottom"/>
            <w:hideMark/>
          </w:tcPr>
          <w:p w14:paraId="15BFC465"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49</w:t>
            </w:r>
          </w:p>
        </w:tc>
        <w:tc>
          <w:tcPr>
            <w:tcW w:w="968" w:type="dxa"/>
            <w:tcBorders>
              <w:top w:val="nil"/>
              <w:left w:val="nil"/>
              <w:bottom w:val="double" w:sz="6" w:space="0" w:color="E26B0A"/>
              <w:right w:val="double" w:sz="6" w:space="0" w:color="E26B0A"/>
            </w:tcBorders>
            <w:shd w:val="clear" w:color="000000" w:fill="FABF8F"/>
            <w:noWrap/>
            <w:vAlign w:val="bottom"/>
            <w:hideMark/>
          </w:tcPr>
          <w:p w14:paraId="78DE0166"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108</w:t>
            </w:r>
          </w:p>
        </w:tc>
        <w:tc>
          <w:tcPr>
            <w:tcW w:w="931" w:type="dxa"/>
            <w:tcBorders>
              <w:top w:val="nil"/>
              <w:left w:val="nil"/>
              <w:bottom w:val="double" w:sz="6" w:space="0" w:color="E26B0A"/>
              <w:right w:val="double" w:sz="6" w:space="0" w:color="E26B0A"/>
            </w:tcBorders>
            <w:shd w:val="clear" w:color="000000" w:fill="FABF8F"/>
            <w:noWrap/>
            <w:vAlign w:val="bottom"/>
            <w:hideMark/>
          </w:tcPr>
          <w:p w14:paraId="77E8946C"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220,4%</w:t>
            </w:r>
          </w:p>
        </w:tc>
        <w:tc>
          <w:tcPr>
            <w:tcW w:w="222" w:type="dxa"/>
            <w:vAlign w:val="center"/>
            <w:hideMark/>
          </w:tcPr>
          <w:p w14:paraId="3092E281" w14:textId="77777777" w:rsidR="005950B3" w:rsidRPr="005950B3" w:rsidRDefault="005950B3" w:rsidP="005950B3">
            <w:pPr>
              <w:rPr>
                <w:rFonts w:ascii="Times New Roman" w:eastAsia="Times New Roman" w:hAnsi="Times New Roman"/>
                <w:sz w:val="20"/>
                <w:szCs w:val="20"/>
                <w:lang w:val="en-US"/>
              </w:rPr>
            </w:pPr>
          </w:p>
        </w:tc>
      </w:tr>
      <w:tr w:rsidR="005950B3" w:rsidRPr="005950B3" w14:paraId="518E46A6" w14:textId="77777777" w:rsidTr="005950B3">
        <w:trPr>
          <w:trHeight w:val="352"/>
        </w:trPr>
        <w:tc>
          <w:tcPr>
            <w:tcW w:w="706" w:type="dxa"/>
            <w:tcBorders>
              <w:top w:val="nil"/>
              <w:left w:val="double" w:sz="6" w:space="0" w:color="E26B0A"/>
              <w:bottom w:val="double" w:sz="6" w:space="0" w:color="E26B0A"/>
              <w:right w:val="double" w:sz="6" w:space="0" w:color="E26B0A"/>
            </w:tcBorders>
            <w:shd w:val="clear" w:color="auto" w:fill="auto"/>
            <w:noWrap/>
            <w:vAlign w:val="bottom"/>
            <w:hideMark/>
          </w:tcPr>
          <w:p w14:paraId="6D58C464" w14:textId="77777777" w:rsidR="005950B3" w:rsidRPr="005950B3" w:rsidRDefault="005950B3" w:rsidP="005950B3">
            <w:pPr>
              <w:jc w:val="center"/>
              <w:rPr>
                <w:rFonts w:eastAsia="Times New Roman" w:cs="Calibri"/>
                <w:sz w:val="20"/>
                <w:szCs w:val="20"/>
                <w:lang w:val="en-US"/>
              </w:rPr>
            </w:pPr>
            <w:r w:rsidRPr="005950B3">
              <w:rPr>
                <w:rFonts w:eastAsia="Times New Roman" w:cs="Calibri"/>
                <w:sz w:val="20"/>
                <w:szCs w:val="20"/>
                <w:lang w:val="en-US"/>
              </w:rPr>
              <w:t>13</w:t>
            </w:r>
          </w:p>
        </w:tc>
        <w:tc>
          <w:tcPr>
            <w:tcW w:w="5449" w:type="dxa"/>
            <w:tcBorders>
              <w:top w:val="nil"/>
              <w:left w:val="nil"/>
              <w:bottom w:val="double" w:sz="6" w:space="0" w:color="E26B0A"/>
              <w:right w:val="double" w:sz="6" w:space="0" w:color="E26B0A"/>
            </w:tcBorders>
            <w:shd w:val="clear" w:color="auto" w:fill="auto"/>
            <w:noWrap/>
            <w:vAlign w:val="bottom"/>
            <w:hideMark/>
          </w:tcPr>
          <w:p w14:paraId="017318DB" w14:textId="77777777" w:rsidR="005950B3" w:rsidRPr="005950B3" w:rsidRDefault="005950B3" w:rsidP="005950B3">
            <w:pPr>
              <w:jc w:val="both"/>
              <w:rPr>
                <w:rFonts w:eastAsia="Times New Roman" w:cs="Calibri"/>
                <w:sz w:val="20"/>
                <w:szCs w:val="20"/>
                <w:lang w:val="en-US"/>
              </w:rPr>
            </w:pPr>
            <w:r w:rsidRPr="005950B3">
              <w:rPr>
                <w:rFonts w:eastAsia="Times New Roman" w:cs="Calibri"/>
                <w:sz w:val="20"/>
                <w:szCs w:val="20"/>
                <w:lang w:val="en-US"/>
              </w:rPr>
              <w:t>Краткосрочни финансови активи (без парични средства)</w:t>
            </w:r>
          </w:p>
        </w:tc>
        <w:tc>
          <w:tcPr>
            <w:tcW w:w="824" w:type="dxa"/>
            <w:tcBorders>
              <w:top w:val="nil"/>
              <w:left w:val="nil"/>
              <w:bottom w:val="double" w:sz="6" w:space="0" w:color="E26B0A"/>
              <w:right w:val="double" w:sz="6" w:space="0" w:color="E26B0A"/>
            </w:tcBorders>
            <w:shd w:val="clear" w:color="000000" w:fill="FDE9D9"/>
            <w:noWrap/>
            <w:vAlign w:val="bottom"/>
            <w:hideMark/>
          </w:tcPr>
          <w:p w14:paraId="378D4C05" w14:textId="77777777" w:rsidR="005950B3" w:rsidRPr="005950B3" w:rsidRDefault="005950B3" w:rsidP="005950B3">
            <w:pPr>
              <w:rPr>
                <w:rFonts w:eastAsia="Times New Roman" w:cs="Calibri"/>
                <w:sz w:val="20"/>
                <w:szCs w:val="20"/>
                <w:lang w:val="en-US"/>
              </w:rPr>
            </w:pPr>
            <w:r w:rsidRPr="005950B3">
              <w:rPr>
                <w:rFonts w:eastAsia="Times New Roman" w:cs="Calibri"/>
                <w:sz w:val="20"/>
                <w:szCs w:val="20"/>
                <w:lang w:val="en-US"/>
              </w:rPr>
              <w:t> </w:t>
            </w:r>
          </w:p>
        </w:tc>
        <w:tc>
          <w:tcPr>
            <w:tcW w:w="824" w:type="dxa"/>
            <w:tcBorders>
              <w:top w:val="nil"/>
              <w:left w:val="nil"/>
              <w:bottom w:val="double" w:sz="6" w:space="0" w:color="E26B0A"/>
              <w:right w:val="double" w:sz="6" w:space="0" w:color="E26B0A"/>
            </w:tcBorders>
            <w:shd w:val="clear" w:color="000000" w:fill="FDE9D9"/>
            <w:noWrap/>
            <w:vAlign w:val="bottom"/>
            <w:hideMark/>
          </w:tcPr>
          <w:p w14:paraId="42AA3A14" w14:textId="77777777" w:rsidR="005950B3" w:rsidRPr="005950B3" w:rsidRDefault="005950B3" w:rsidP="005950B3">
            <w:pPr>
              <w:rPr>
                <w:rFonts w:eastAsia="Times New Roman" w:cs="Calibri"/>
                <w:sz w:val="20"/>
                <w:szCs w:val="20"/>
                <w:lang w:val="en-US"/>
              </w:rPr>
            </w:pPr>
            <w:r w:rsidRPr="005950B3">
              <w:rPr>
                <w:rFonts w:eastAsia="Times New Roman" w:cs="Calibri"/>
                <w:sz w:val="20"/>
                <w:szCs w:val="20"/>
                <w:lang w:val="en-US"/>
              </w:rPr>
              <w:t> </w:t>
            </w:r>
          </w:p>
        </w:tc>
        <w:tc>
          <w:tcPr>
            <w:tcW w:w="968" w:type="dxa"/>
            <w:tcBorders>
              <w:top w:val="nil"/>
              <w:left w:val="nil"/>
              <w:bottom w:val="double" w:sz="6" w:space="0" w:color="E26B0A"/>
              <w:right w:val="double" w:sz="6" w:space="0" w:color="E26B0A"/>
            </w:tcBorders>
            <w:shd w:val="clear" w:color="000000" w:fill="FABF8F"/>
            <w:noWrap/>
            <w:vAlign w:val="bottom"/>
            <w:hideMark/>
          </w:tcPr>
          <w:p w14:paraId="1782E38A"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0</w:t>
            </w:r>
          </w:p>
        </w:tc>
        <w:tc>
          <w:tcPr>
            <w:tcW w:w="931" w:type="dxa"/>
            <w:tcBorders>
              <w:top w:val="nil"/>
              <w:left w:val="nil"/>
              <w:bottom w:val="double" w:sz="6" w:space="0" w:color="E26B0A"/>
              <w:right w:val="double" w:sz="6" w:space="0" w:color="E26B0A"/>
            </w:tcBorders>
            <w:shd w:val="clear" w:color="000000" w:fill="FABF8F"/>
            <w:noWrap/>
            <w:vAlign w:val="bottom"/>
            <w:hideMark/>
          </w:tcPr>
          <w:p w14:paraId="135FE98C"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0,0%</w:t>
            </w:r>
          </w:p>
        </w:tc>
        <w:tc>
          <w:tcPr>
            <w:tcW w:w="222" w:type="dxa"/>
            <w:vAlign w:val="center"/>
            <w:hideMark/>
          </w:tcPr>
          <w:p w14:paraId="618F4D1D" w14:textId="77777777" w:rsidR="005950B3" w:rsidRPr="005950B3" w:rsidRDefault="005950B3" w:rsidP="005950B3">
            <w:pPr>
              <w:rPr>
                <w:rFonts w:ascii="Times New Roman" w:eastAsia="Times New Roman" w:hAnsi="Times New Roman"/>
                <w:sz w:val="20"/>
                <w:szCs w:val="20"/>
                <w:lang w:val="en-US"/>
              </w:rPr>
            </w:pPr>
          </w:p>
        </w:tc>
      </w:tr>
      <w:tr w:rsidR="005950B3" w:rsidRPr="005950B3" w14:paraId="7716844D" w14:textId="77777777" w:rsidTr="005950B3">
        <w:trPr>
          <w:trHeight w:val="300"/>
        </w:trPr>
        <w:tc>
          <w:tcPr>
            <w:tcW w:w="706" w:type="dxa"/>
            <w:tcBorders>
              <w:top w:val="nil"/>
              <w:left w:val="double" w:sz="6" w:space="0" w:color="E26B0A"/>
              <w:bottom w:val="double" w:sz="6" w:space="0" w:color="E26B0A"/>
              <w:right w:val="double" w:sz="6" w:space="0" w:color="E26B0A"/>
            </w:tcBorders>
            <w:shd w:val="clear" w:color="auto" w:fill="auto"/>
            <w:noWrap/>
            <w:vAlign w:val="bottom"/>
            <w:hideMark/>
          </w:tcPr>
          <w:p w14:paraId="5A392479" w14:textId="77777777" w:rsidR="005950B3" w:rsidRPr="005950B3" w:rsidRDefault="005950B3" w:rsidP="005950B3">
            <w:pPr>
              <w:jc w:val="center"/>
              <w:rPr>
                <w:rFonts w:eastAsia="Times New Roman" w:cs="Calibri"/>
                <w:sz w:val="20"/>
                <w:szCs w:val="20"/>
                <w:lang w:val="en-US"/>
              </w:rPr>
            </w:pPr>
            <w:r w:rsidRPr="005950B3">
              <w:rPr>
                <w:rFonts w:eastAsia="Times New Roman" w:cs="Calibri"/>
                <w:sz w:val="20"/>
                <w:szCs w:val="20"/>
                <w:lang w:val="en-US"/>
              </w:rPr>
              <w:t>14</w:t>
            </w:r>
          </w:p>
        </w:tc>
        <w:tc>
          <w:tcPr>
            <w:tcW w:w="5449" w:type="dxa"/>
            <w:tcBorders>
              <w:top w:val="nil"/>
              <w:left w:val="nil"/>
              <w:bottom w:val="double" w:sz="6" w:space="0" w:color="E26B0A"/>
              <w:right w:val="double" w:sz="6" w:space="0" w:color="E26B0A"/>
            </w:tcBorders>
            <w:shd w:val="clear" w:color="auto" w:fill="auto"/>
            <w:noWrap/>
            <w:vAlign w:val="bottom"/>
            <w:hideMark/>
          </w:tcPr>
          <w:p w14:paraId="5D390B73" w14:textId="77777777" w:rsidR="005950B3" w:rsidRPr="005950B3" w:rsidRDefault="005950B3" w:rsidP="005950B3">
            <w:pPr>
              <w:rPr>
                <w:rFonts w:eastAsia="Times New Roman" w:cs="Calibri"/>
                <w:sz w:val="20"/>
                <w:szCs w:val="20"/>
                <w:lang w:val="en-US"/>
              </w:rPr>
            </w:pPr>
            <w:r w:rsidRPr="005950B3">
              <w:rPr>
                <w:rFonts w:eastAsia="Times New Roman" w:cs="Calibri"/>
                <w:sz w:val="20"/>
                <w:szCs w:val="20"/>
                <w:lang w:val="en-US"/>
              </w:rPr>
              <w:t>Парични средства</w:t>
            </w:r>
          </w:p>
        </w:tc>
        <w:tc>
          <w:tcPr>
            <w:tcW w:w="824" w:type="dxa"/>
            <w:tcBorders>
              <w:top w:val="nil"/>
              <w:left w:val="nil"/>
              <w:bottom w:val="double" w:sz="6" w:space="0" w:color="E26B0A"/>
              <w:right w:val="double" w:sz="6" w:space="0" w:color="E26B0A"/>
            </w:tcBorders>
            <w:shd w:val="clear" w:color="000000" w:fill="FDE9D9"/>
            <w:noWrap/>
            <w:vAlign w:val="bottom"/>
            <w:hideMark/>
          </w:tcPr>
          <w:p w14:paraId="70791E48"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249</w:t>
            </w:r>
          </w:p>
        </w:tc>
        <w:tc>
          <w:tcPr>
            <w:tcW w:w="824" w:type="dxa"/>
            <w:tcBorders>
              <w:top w:val="nil"/>
              <w:left w:val="nil"/>
              <w:bottom w:val="double" w:sz="6" w:space="0" w:color="E26B0A"/>
              <w:right w:val="double" w:sz="6" w:space="0" w:color="E26B0A"/>
            </w:tcBorders>
            <w:shd w:val="clear" w:color="000000" w:fill="FDE9D9"/>
            <w:noWrap/>
            <w:vAlign w:val="bottom"/>
            <w:hideMark/>
          </w:tcPr>
          <w:p w14:paraId="718B9262"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88</w:t>
            </w:r>
          </w:p>
        </w:tc>
        <w:tc>
          <w:tcPr>
            <w:tcW w:w="968" w:type="dxa"/>
            <w:tcBorders>
              <w:top w:val="nil"/>
              <w:left w:val="nil"/>
              <w:bottom w:val="double" w:sz="6" w:space="0" w:color="E26B0A"/>
              <w:right w:val="double" w:sz="6" w:space="0" w:color="E26B0A"/>
            </w:tcBorders>
            <w:shd w:val="clear" w:color="000000" w:fill="FABF8F"/>
            <w:noWrap/>
            <w:vAlign w:val="bottom"/>
            <w:hideMark/>
          </w:tcPr>
          <w:p w14:paraId="127BBEE7"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161</w:t>
            </w:r>
          </w:p>
        </w:tc>
        <w:tc>
          <w:tcPr>
            <w:tcW w:w="931" w:type="dxa"/>
            <w:tcBorders>
              <w:top w:val="nil"/>
              <w:left w:val="nil"/>
              <w:bottom w:val="double" w:sz="6" w:space="0" w:color="E26B0A"/>
              <w:right w:val="double" w:sz="6" w:space="0" w:color="E26B0A"/>
            </w:tcBorders>
            <w:shd w:val="clear" w:color="000000" w:fill="FABF8F"/>
            <w:noWrap/>
            <w:vAlign w:val="bottom"/>
            <w:hideMark/>
          </w:tcPr>
          <w:p w14:paraId="30575CCA"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183,0%</w:t>
            </w:r>
          </w:p>
        </w:tc>
        <w:tc>
          <w:tcPr>
            <w:tcW w:w="222" w:type="dxa"/>
            <w:vAlign w:val="center"/>
            <w:hideMark/>
          </w:tcPr>
          <w:p w14:paraId="228F860E" w14:textId="77777777" w:rsidR="005950B3" w:rsidRPr="005950B3" w:rsidRDefault="005950B3" w:rsidP="005950B3">
            <w:pPr>
              <w:rPr>
                <w:rFonts w:ascii="Times New Roman" w:eastAsia="Times New Roman" w:hAnsi="Times New Roman"/>
                <w:sz w:val="20"/>
                <w:szCs w:val="20"/>
                <w:lang w:val="en-US"/>
              </w:rPr>
            </w:pPr>
          </w:p>
        </w:tc>
      </w:tr>
      <w:tr w:rsidR="005950B3" w:rsidRPr="005950B3" w14:paraId="35D40ADB" w14:textId="77777777" w:rsidTr="005950B3">
        <w:trPr>
          <w:trHeight w:val="300"/>
        </w:trPr>
        <w:tc>
          <w:tcPr>
            <w:tcW w:w="706" w:type="dxa"/>
            <w:tcBorders>
              <w:top w:val="nil"/>
              <w:left w:val="double" w:sz="6" w:space="0" w:color="E26B0A"/>
              <w:bottom w:val="double" w:sz="6" w:space="0" w:color="E26B0A"/>
              <w:right w:val="double" w:sz="6" w:space="0" w:color="E26B0A"/>
            </w:tcBorders>
            <w:shd w:val="clear" w:color="auto" w:fill="auto"/>
            <w:noWrap/>
            <w:vAlign w:val="bottom"/>
            <w:hideMark/>
          </w:tcPr>
          <w:p w14:paraId="35DE672C" w14:textId="77777777" w:rsidR="005950B3" w:rsidRPr="005950B3" w:rsidRDefault="005950B3" w:rsidP="005950B3">
            <w:pPr>
              <w:jc w:val="center"/>
              <w:rPr>
                <w:rFonts w:eastAsia="Times New Roman" w:cs="Calibri"/>
                <w:sz w:val="20"/>
                <w:szCs w:val="20"/>
                <w:lang w:val="en-US"/>
              </w:rPr>
            </w:pPr>
            <w:r w:rsidRPr="005950B3">
              <w:rPr>
                <w:rFonts w:eastAsia="Times New Roman" w:cs="Calibri"/>
                <w:sz w:val="20"/>
                <w:szCs w:val="20"/>
                <w:lang w:val="en-US"/>
              </w:rPr>
              <w:t>15</w:t>
            </w:r>
          </w:p>
        </w:tc>
        <w:tc>
          <w:tcPr>
            <w:tcW w:w="5449" w:type="dxa"/>
            <w:tcBorders>
              <w:top w:val="nil"/>
              <w:left w:val="nil"/>
              <w:bottom w:val="double" w:sz="6" w:space="0" w:color="E26B0A"/>
              <w:right w:val="double" w:sz="6" w:space="0" w:color="E26B0A"/>
            </w:tcBorders>
            <w:shd w:val="clear" w:color="auto" w:fill="auto"/>
            <w:noWrap/>
            <w:vAlign w:val="bottom"/>
            <w:hideMark/>
          </w:tcPr>
          <w:p w14:paraId="3028DDB9" w14:textId="77777777" w:rsidR="005950B3" w:rsidRPr="005950B3" w:rsidRDefault="005950B3" w:rsidP="005950B3">
            <w:pPr>
              <w:rPr>
                <w:rFonts w:eastAsia="Times New Roman" w:cs="Calibri"/>
                <w:sz w:val="20"/>
                <w:szCs w:val="20"/>
                <w:lang w:val="en-US"/>
              </w:rPr>
            </w:pPr>
            <w:r w:rsidRPr="005950B3">
              <w:rPr>
                <w:rFonts w:eastAsia="Times New Roman" w:cs="Calibri"/>
                <w:sz w:val="20"/>
                <w:szCs w:val="20"/>
                <w:lang w:val="en-US"/>
              </w:rPr>
              <w:t>Материални запаси</w:t>
            </w:r>
          </w:p>
        </w:tc>
        <w:tc>
          <w:tcPr>
            <w:tcW w:w="824" w:type="dxa"/>
            <w:tcBorders>
              <w:top w:val="nil"/>
              <w:left w:val="nil"/>
              <w:bottom w:val="double" w:sz="6" w:space="0" w:color="E26B0A"/>
              <w:right w:val="double" w:sz="6" w:space="0" w:color="E26B0A"/>
            </w:tcBorders>
            <w:shd w:val="clear" w:color="000000" w:fill="FDE9D9"/>
            <w:noWrap/>
            <w:vAlign w:val="bottom"/>
            <w:hideMark/>
          </w:tcPr>
          <w:p w14:paraId="2ACEDAC6"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16</w:t>
            </w:r>
          </w:p>
        </w:tc>
        <w:tc>
          <w:tcPr>
            <w:tcW w:w="824" w:type="dxa"/>
            <w:tcBorders>
              <w:top w:val="nil"/>
              <w:left w:val="nil"/>
              <w:bottom w:val="double" w:sz="6" w:space="0" w:color="E26B0A"/>
              <w:right w:val="double" w:sz="6" w:space="0" w:color="E26B0A"/>
            </w:tcBorders>
            <w:shd w:val="clear" w:color="000000" w:fill="FDE9D9"/>
            <w:noWrap/>
            <w:vAlign w:val="bottom"/>
            <w:hideMark/>
          </w:tcPr>
          <w:p w14:paraId="5CABAC3A"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13</w:t>
            </w:r>
          </w:p>
        </w:tc>
        <w:tc>
          <w:tcPr>
            <w:tcW w:w="968" w:type="dxa"/>
            <w:tcBorders>
              <w:top w:val="nil"/>
              <w:left w:val="nil"/>
              <w:bottom w:val="double" w:sz="6" w:space="0" w:color="E26B0A"/>
              <w:right w:val="double" w:sz="6" w:space="0" w:color="E26B0A"/>
            </w:tcBorders>
            <w:shd w:val="clear" w:color="000000" w:fill="FABF8F"/>
            <w:noWrap/>
            <w:vAlign w:val="bottom"/>
            <w:hideMark/>
          </w:tcPr>
          <w:p w14:paraId="40FB2628"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3</w:t>
            </w:r>
          </w:p>
        </w:tc>
        <w:tc>
          <w:tcPr>
            <w:tcW w:w="931" w:type="dxa"/>
            <w:tcBorders>
              <w:top w:val="nil"/>
              <w:left w:val="nil"/>
              <w:bottom w:val="double" w:sz="6" w:space="0" w:color="E26B0A"/>
              <w:right w:val="double" w:sz="6" w:space="0" w:color="E26B0A"/>
            </w:tcBorders>
            <w:shd w:val="clear" w:color="000000" w:fill="FABF8F"/>
            <w:noWrap/>
            <w:vAlign w:val="bottom"/>
            <w:hideMark/>
          </w:tcPr>
          <w:p w14:paraId="7DF39462"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23,1%</w:t>
            </w:r>
          </w:p>
        </w:tc>
        <w:tc>
          <w:tcPr>
            <w:tcW w:w="222" w:type="dxa"/>
            <w:vAlign w:val="center"/>
            <w:hideMark/>
          </w:tcPr>
          <w:p w14:paraId="04907B3A" w14:textId="77777777" w:rsidR="005950B3" w:rsidRPr="005950B3" w:rsidRDefault="005950B3" w:rsidP="005950B3">
            <w:pPr>
              <w:rPr>
                <w:rFonts w:ascii="Times New Roman" w:eastAsia="Times New Roman" w:hAnsi="Times New Roman"/>
                <w:sz w:val="20"/>
                <w:szCs w:val="20"/>
                <w:lang w:val="en-US"/>
              </w:rPr>
            </w:pPr>
          </w:p>
        </w:tc>
      </w:tr>
      <w:tr w:rsidR="005950B3" w:rsidRPr="005950B3" w14:paraId="6E7FEECB" w14:textId="77777777" w:rsidTr="005950B3">
        <w:trPr>
          <w:trHeight w:val="300"/>
        </w:trPr>
        <w:tc>
          <w:tcPr>
            <w:tcW w:w="706" w:type="dxa"/>
            <w:tcBorders>
              <w:top w:val="nil"/>
              <w:left w:val="double" w:sz="6" w:space="0" w:color="E26B0A"/>
              <w:bottom w:val="double" w:sz="6" w:space="0" w:color="E26B0A"/>
              <w:right w:val="double" w:sz="6" w:space="0" w:color="E26B0A"/>
            </w:tcBorders>
            <w:shd w:val="clear" w:color="auto" w:fill="auto"/>
            <w:noWrap/>
            <w:vAlign w:val="bottom"/>
            <w:hideMark/>
          </w:tcPr>
          <w:p w14:paraId="22B14289" w14:textId="77777777" w:rsidR="005950B3" w:rsidRPr="005950B3" w:rsidRDefault="005950B3" w:rsidP="005950B3">
            <w:pPr>
              <w:jc w:val="center"/>
              <w:rPr>
                <w:rFonts w:eastAsia="Times New Roman" w:cs="Calibri"/>
                <w:sz w:val="20"/>
                <w:szCs w:val="20"/>
                <w:lang w:val="en-US"/>
              </w:rPr>
            </w:pPr>
            <w:r w:rsidRPr="005950B3">
              <w:rPr>
                <w:rFonts w:eastAsia="Times New Roman" w:cs="Calibri"/>
                <w:sz w:val="20"/>
                <w:szCs w:val="20"/>
                <w:lang w:val="en-US"/>
              </w:rPr>
              <w:t>16</w:t>
            </w:r>
          </w:p>
        </w:tc>
        <w:tc>
          <w:tcPr>
            <w:tcW w:w="5449" w:type="dxa"/>
            <w:tcBorders>
              <w:top w:val="nil"/>
              <w:left w:val="nil"/>
              <w:bottom w:val="double" w:sz="6" w:space="0" w:color="E26B0A"/>
              <w:right w:val="double" w:sz="6" w:space="0" w:color="E26B0A"/>
            </w:tcBorders>
            <w:shd w:val="clear" w:color="auto" w:fill="auto"/>
            <w:noWrap/>
            <w:vAlign w:val="bottom"/>
            <w:hideMark/>
          </w:tcPr>
          <w:p w14:paraId="0552467C" w14:textId="77777777" w:rsidR="005950B3" w:rsidRPr="005950B3" w:rsidRDefault="005950B3" w:rsidP="005950B3">
            <w:pPr>
              <w:rPr>
                <w:rFonts w:eastAsia="Times New Roman" w:cs="Calibri"/>
                <w:sz w:val="20"/>
                <w:szCs w:val="20"/>
                <w:lang w:val="en-US"/>
              </w:rPr>
            </w:pPr>
            <w:r w:rsidRPr="005950B3">
              <w:rPr>
                <w:rFonts w:eastAsia="Times New Roman" w:cs="Calibri"/>
                <w:sz w:val="20"/>
                <w:szCs w:val="20"/>
                <w:lang w:val="en-US"/>
              </w:rPr>
              <w:t>Дългосрочни задължения</w:t>
            </w:r>
          </w:p>
        </w:tc>
        <w:tc>
          <w:tcPr>
            <w:tcW w:w="824" w:type="dxa"/>
            <w:tcBorders>
              <w:top w:val="nil"/>
              <w:left w:val="nil"/>
              <w:bottom w:val="double" w:sz="6" w:space="0" w:color="E26B0A"/>
              <w:right w:val="double" w:sz="6" w:space="0" w:color="E26B0A"/>
            </w:tcBorders>
            <w:shd w:val="clear" w:color="000000" w:fill="FDE9D9"/>
            <w:noWrap/>
            <w:vAlign w:val="bottom"/>
            <w:hideMark/>
          </w:tcPr>
          <w:p w14:paraId="4066A5D0"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0</w:t>
            </w:r>
          </w:p>
        </w:tc>
        <w:tc>
          <w:tcPr>
            <w:tcW w:w="824" w:type="dxa"/>
            <w:tcBorders>
              <w:top w:val="nil"/>
              <w:left w:val="nil"/>
              <w:bottom w:val="double" w:sz="6" w:space="0" w:color="E26B0A"/>
              <w:right w:val="double" w:sz="6" w:space="0" w:color="E26B0A"/>
            </w:tcBorders>
            <w:shd w:val="clear" w:color="000000" w:fill="FDE9D9"/>
            <w:noWrap/>
            <w:vAlign w:val="bottom"/>
            <w:hideMark/>
          </w:tcPr>
          <w:p w14:paraId="3CF40131"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0</w:t>
            </w:r>
          </w:p>
        </w:tc>
        <w:tc>
          <w:tcPr>
            <w:tcW w:w="968" w:type="dxa"/>
            <w:tcBorders>
              <w:top w:val="nil"/>
              <w:left w:val="nil"/>
              <w:bottom w:val="double" w:sz="6" w:space="0" w:color="E26B0A"/>
              <w:right w:val="double" w:sz="6" w:space="0" w:color="E26B0A"/>
            </w:tcBorders>
            <w:shd w:val="clear" w:color="000000" w:fill="FABF8F"/>
            <w:noWrap/>
            <w:vAlign w:val="bottom"/>
            <w:hideMark/>
          </w:tcPr>
          <w:p w14:paraId="77DE8C77"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0</w:t>
            </w:r>
          </w:p>
        </w:tc>
        <w:tc>
          <w:tcPr>
            <w:tcW w:w="931" w:type="dxa"/>
            <w:tcBorders>
              <w:top w:val="nil"/>
              <w:left w:val="nil"/>
              <w:bottom w:val="double" w:sz="6" w:space="0" w:color="E26B0A"/>
              <w:right w:val="double" w:sz="6" w:space="0" w:color="E26B0A"/>
            </w:tcBorders>
            <w:shd w:val="clear" w:color="000000" w:fill="FABF8F"/>
            <w:noWrap/>
            <w:vAlign w:val="bottom"/>
            <w:hideMark/>
          </w:tcPr>
          <w:p w14:paraId="2FBF9F00"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0,0%</w:t>
            </w:r>
          </w:p>
        </w:tc>
        <w:tc>
          <w:tcPr>
            <w:tcW w:w="222" w:type="dxa"/>
            <w:vAlign w:val="center"/>
            <w:hideMark/>
          </w:tcPr>
          <w:p w14:paraId="6543A0E2" w14:textId="77777777" w:rsidR="005950B3" w:rsidRPr="005950B3" w:rsidRDefault="005950B3" w:rsidP="005950B3">
            <w:pPr>
              <w:rPr>
                <w:rFonts w:ascii="Times New Roman" w:eastAsia="Times New Roman" w:hAnsi="Times New Roman"/>
                <w:sz w:val="20"/>
                <w:szCs w:val="20"/>
                <w:lang w:val="en-US"/>
              </w:rPr>
            </w:pPr>
          </w:p>
        </w:tc>
      </w:tr>
      <w:tr w:rsidR="005950B3" w:rsidRPr="005950B3" w14:paraId="14F22906" w14:textId="77777777" w:rsidTr="005950B3">
        <w:trPr>
          <w:trHeight w:val="300"/>
        </w:trPr>
        <w:tc>
          <w:tcPr>
            <w:tcW w:w="9702" w:type="dxa"/>
            <w:gridSpan w:val="6"/>
            <w:tcBorders>
              <w:top w:val="double" w:sz="6" w:space="0" w:color="E26B0A"/>
              <w:left w:val="double" w:sz="6" w:space="0" w:color="E26B0A"/>
              <w:bottom w:val="double" w:sz="6" w:space="0" w:color="E26B0A"/>
              <w:right w:val="double" w:sz="6" w:space="0" w:color="E26B0A"/>
            </w:tcBorders>
            <w:shd w:val="clear" w:color="000000" w:fill="E26B0A"/>
            <w:noWrap/>
            <w:vAlign w:val="bottom"/>
            <w:hideMark/>
          </w:tcPr>
          <w:p w14:paraId="3CF8C2C7" w14:textId="77777777" w:rsidR="005950B3" w:rsidRPr="005950B3" w:rsidRDefault="005950B3" w:rsidP="005950B3">
            <w:pPr>
              <w:jc w:val="center"/>
              <w:rPr>
                <w:rFonts w:eastAsia="Times New Roman" w:cs="Calibri"/>
                <w:b/>
                <w:bCs/>
                <w:color w:val="FFFFFF"/>
                <w:sz w:val="20"/>
                <w:szCs w:val="20"/>
                <w:lang w:val="en-US"/>
              </w:rPr>
            </w:pPr>
            <w:r w:rsidRPr="005950B3">
              <w:rPr>
                <w:rFonts w:eastAsia="Times New Roman" w:cs="Calibri"/>
                <w:b/>
                <w:bCs/>
                <w:color w:val="FFFFFF"/>
                <w:sz w:val="20"/>
                <w:szCs w:val="20"/>
                <w:lang w:val="en-US"/>
              </w:rPr>
              <w:t>Рентабилност:</w:t>
            </w:r>
          </w:p>
        </w:tc>
        <w:tc>
          <w:tcPr>
            <w:tcW w:w="222" w:type="dxa"/>
            <w:vAlign w:val="center"/>
            <w:hideMark/>
          </w:tcPr>
          <w:p w14:paraId="2E552ED3" w14:textId="77777777" w:rsidR="005950B3" w:rsidRPr="005950B3" w:rsidRDefault="005950B3" w:rsidP="005950B3">
            <w:pPr>
              <w:rPr>
                <w:rFonts w:ascii="Times New Roman" w:eastAsia="Times New Roman" w:hAnsi="Times New Roman"/>
                <w:sz w:val="20"/>
                <w:szCs w:val="20"/>
                <w:lang w:val="en-US"/>
              </w:rPr>
            </w:pPr>
          </w:p>
        </w:tc>
      </w:tr>
      <w:tr w:rsidR="005950B3" w:rsidRPr="005950B3" w14:paraId="6AE4CA7F" w14:textId="77777777" w:rsidTr="005950B3">
        <w:trPr>
          <w:trHeight w:val="300"/>
        </w:trPr>
        <w:tc>
          <w:tcPr>
            <w:tcW w:w="706" w:type="dxa"/>
            <w:tcBorders>
              <w:top w:val="nil"/>
              <w:left w:val="double" w:sz="6" w:space="0" w:color="E26B0A"/>
              <w:bottom w:val="double" w:sz="6" w:space="0" w:color="E26B0A"/>
              <w:right w:val="double" w:sz="6" w:space="0" w:color="E26B0A"/>
            </w:tcBorders>
            <w:shd w:val="clear" w:color="auto" w:fill="auto"/>
            <w:noWrap/>
            <w:vAlign w:val="bottom"/>
            <w:hideMark/>
          </w:tcPr>
          <w:p w14:paraId="291C92E3" w14:textId="77777777" w:rsidR="005950B3" w:rsidRPr="005950B3" w:rsidRDefault="005950B3" w:rsidP="005950B3">
            <w:pPr>
              <w:jc w:val="center"/>
              <w:rPr>
                <w:rFonts w:eastAsia="Times New Roman" w:cs="Calibri"/>
                <w:sz w:val="20"/>
                <w:szCs w:val="20"/>
                <w:lang w:val="en-US"/>
              </w:rPr>
            </w:pPr>
            <w:r w:rsidRPr="005950B3">
              <w:rPr>
                <w:rFonts w:eastAsia="Times New Roman" w:cs="Calibri"/>
                <w:sz w:val="20"/>
                <w:szCs w:val="20"/>
                <w:lang w:val="en-US"/>
              </w:rPr>
              <w:t>17</w:t>
            </w:r>
          </w:p>
        </w:tc>
        <w:tc>
          <w:tcPr>
            <w:tcW w:w="5449" w:type="dxa"/>
            <w:tcBorders>
              <w:top w:val="nil"/>
              <w:left w:val="nil"/>
              <w:bottom w:val="double" w:sz="6" w:space="0" w:color="E26B0A"/>
              <w:right w:val="double" w:sz="6" w:space="0" w:color="E26B0A"/>
            </w:tcBorders>
            <w:shd w:val="clear" w:color="auto" w:fill="auto"/>
            <w:noWrap/>
            <w:vAlign w:val="bottom"/>
            <w:hideMark/>
          </w:tcPr>
          <w:p w14:paraId="483BE1C9" w14:textId="77777777" w:rsidR="005950B3" w:rsidRPr="005950B3" w:rsidRDefault="005950B3" w:rsidP="005950B3">
            <w:pPr>
              <w:rPr>
                <w:rFonts w:eastAsia="Times New Roman" w:cs="Calibri"/>
                <w:sz w:val="20"/>
                <w:szCs w:val="20"/>
                <w:lang w:val="en-US"/>
              </w:rPr>
            </w:pPr>
            <w:r w:rsidRPr="005950B3">
              <w:rPr>
                <w:rFonts w:eastAsia="Times New Roman" w:cs="Calibri"/>
                <w:sz w:val="20"/>
                <w:szCs w:val="20"/>
                <w:lang w:val="en-US"/>
              </w:rPr>
              <w:t>Коеф. на рентабилност на приходите от продажби (1/2)</w:t>
            </w:r>
          </w:p>
        </w:tc>
        <w:tc>
          <w:tcPr>
            <w:tcW w:w="824" w:type="dxa"/>
            <w:tcBorders>
              <w:top w:val="nil"/>
              <w:left w:val="nil"/>
              <w:bottom w:val="double" w:sz="6" w:space="0" w:color="E26B0A"/>
              <w:right w:val="double" w:sz="6" w:space="0" w:color="E26B0A"/>
            </w:tcBorders>
            <w:shd w:val="clear" w:color="000000" w:fill="FABF8F"/>
            <w:noWrap/>
            <w:vAlign w:val="bottom"/>
            <w:hideMark/>
          </w:tcPr>
          <w:p w14:paraId="3C51B542"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0,1003</w:t>
            </w:r>
          </w:p>
        </w:tc>
        <w:tc>
          <w:tcPr>
            <w:tcW w:w="824" w:type="dxa"/>
            <w:tcBorders>
              <w:top w:val="nil"/>
              <w:left w:val="nil"/>
              <w:bottom w:val="double" w:sz="6" w:space="0" w:color="E26B0A"/>
              <w:right w:val="double" w:sz="6" w:space="0" w:color="E26B0A"/>
            </w:tcBorders>
            <w:shd w:val="clear" w:color="000000" w:fill="FABF8F"/>
            <w:noWrap/>
            <w:vAlign w:val="bottom"/>
            <w:hideMark/>
          </w:tcPr>
          <w:p w14:paraId="25A38BA1"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0,0600</w:t>
            </w:r>
          </w:p>
        </w:tc>
        <w:tc>
          <w:tcPr>
            <w:tcW w:w="968" w:type="dxa"/>
            <w:tcBorders>
              <w:top w:val="nil"/>
              <w:left w:val="nil"/>
              <w:bottom w:val="double" w:sz="6" w:space="0" w:color="E26B0A"/>
              <w:right w:val="double" w:sz="6" w:space="0" w:color="E26B0A"/>
            </w:tcBorders>
            <w:shd w:val="clear" w:color="000000" w:fill="FABF8F"/>
            <w:noWrap/>
            <w:vAlign w:val="bottom"/>
            <w:hideMark/>
          </w:tcPr>
          <w:p w14:paraId="0E30737C"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0,0403</w:t>
            </w:r>
          </w:p>
        </w:tc>
        <w:tc>
          <w:tcPr>
            <w:tcW w:w="931" w:type="dxa"/>
            <w:tcBorders>
              <w:top w:val="nil"/>
              <w:left w:val="nil"/>
              <w:bottom w:val="double" w:sz="6" w:space="0" w:color="E26B0A"/>
              <w:right w:val="double" w:sz="6" w:space="0" w:color="E26B0A"/>
            </w:tcBorders>
            <w:shd w:val="clear" w:color="000000" w:fill="FABF8F"/>
            <w:noWrap/>
            <w:vAlign w:val="bottom"/>
            <w:hideMark/>
          </w:tcPr>
          <w:p w14:paraId="73CB2746"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67,1%</w:t>
            </w:r>
          </w:p>
        </w:tc>
        <w:tc>
          <w:tcPr>
            <w:tcW w:w="222" w:type="dxa"/>
            <w:vAlign w:val="center"/>
            <w:hideMark/>
          </w:tcPr>
          <w:p w14:paraId="53AE905B" w14:textId="77777777" w:rsidR="005950B3" w:rsidRPr="005950B3" w:rsidRDefault="005950B3" w:rsidP="005950B3">
            <w:pPr>
              <w:rPr>
                <w:rFonts w:ascii="Times New Roman" w:eastAsia="Times New Roman" w:hAnsi="Times New Roman"/>
                <w:sz w:val="20"/>
                <w:szCs w:val="20"/>
                <w:lang w:val="en-US"/>
              </w:rPr>
            </w:pPr>
          </w:p>
        </w:tc>
      </w:tr>
      <w:tr w:rsidR="005950B3" w:rsidRPr="005950B3" w14:paraId="38A0C80E" w14:textId="77777777" w:rsidTr="005950B3">
        <w:trPr>
          <w:trHeight w:val="300"/>
        </w:trPr>
        <w:tc>
          <w:tcPr>
            <w:tcW w:w="706" w:type="dxa"/>
            <w:tcBorders>
              <w:top w:val="nil"/>
              <w:left w:val="double" w:sz="6" w:space="0" w:color="E26B0A"/>
              <w:bottom w:val="double" w:sz="6" w:space="0" w:color="E26B0A"/>
              <w:right w:val="double" w:sz="6" w:space="0" w:color="E26B0A"/>
            </w:tcBorders>
            <w:shd w:val="clear" w:color="auto" w:fill="auto"/>
            <w:noWrap/>
            <w:vAlign w:val="bottom"/>
            <w:hideMark/>
          </w:tcPr>
          <w:p w14:paraId="6639695D" w14:textId="77777777" w:rsidR="005950B3" w:rsidRPr="005950B3" w:rsidRDefault="005950B3" w:rsidP="005950B3">
            <w:pPr>
              <w:jc w:val="center"/>
              <w:rPr>
                <w:rFonts w:eastAsia="Times New Roman" w:cs="Calibri"/>
                <w:sz w:val="20"/>
                <w:szCs w:val="20"/>
                <w:lang w:val="en-US"/>
              </w:rPr>
            </w:pPr>
            <w:r w:rsidRPr="005950B3">
              <w:rPr>
                <w:rFonts w:eastAsia="Times New Roman" w:cs="Calibri"/>
                <w:sz w:val="20"/>
                <w:szCs w:val="20"/>
                <w:lang w:val="en-US"/>
              </w:rPr>
              <w:t>18</w:t>
            </w:r>
          </w:p>
        </w:tc>
        <w:tc>
          <w:tcPr>
            <w:tcW w:w="5449" w:type="dxa"/>
            <w:tcBorders>
              <w:top w:val="nil"/>
              <w:left w:val="nil"/>
              <w:bottom w:val="double" w:sz="6" w:space="0" w:color="E26B0A"/>
              <w:right w:val="double" w:sz="6" w:space="0" w:color="E26B0A"/>
            </w:tcBorders>
            <w:shd w:val="clear" w:color="auto" w:fill="auto"/>
            <w:noWrap/>
            <w:vAlign w:val="bottom"/>
            <w:hideMark/>
          </w:tcPr>
          <w:p w14:paraId="438BFF1C" w14:textId="77777777" w:rsidR="005950B3" w:rsidRPr="005950B3" w:rsidRDefault="005950B3" w:rsidP="005950B3">
            <w:pPr>
              <w:rPr>
                <w:rFonts w:eastAsia="Times New Roman" w:cs="Calibri"/>
                <w:sz w:val="20"/>
                <w:szCs w:val="20"/>
                <w:lang w:val="en-US"/>
              </w:rPr>
            </w:pPr>
            <w:r w:rsidRPr="005950B3">
              <w:rPr>
                <w:rFonts w:eastAsia="Times New Roman" w:cs="Calibri"/>
                <w:sz w:val="20"/>
                <w:szCs w:val="20"/>
                <w:lang w:val="en-US"/>
              </w:rPr>
              <w:t xml:space="preserve"> Коеф. на рентабилност на собствения капитал (1/7)</w:t>
            </w:r>
          </w:p>
        </w:tc>
        <w:tc>
          <w:tcPr>
            <w:tcW w:w="824" w:type="dxa"/>
            <w:tcBorders>
              <w:top w:val="nil"/>
              <w:left w:val="nil"/>
              <w:bottom w:val="double" w:sz="6" w:space="0" w:color="E26B0A"/>
              <w:right w:val="double" w:sz="6" w:space="0" w:color="E26B0A"/>
            </w:tcBorders>
            <w:shd w:val="clear" w:color="000000" w:fill="FABF8F"/>
            <w:noWrap/>
            <w:vAlign w:val="bottom"/>
            <w:hideMark/>
          </w:tcPr>
          <w:p w14:paraId="6CC6A558"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0,5359</w:t>
            </w:r>
          </w:p>
        </w:tc>
        <w:tc>
          <w:tcPr>
            <w:tcW w:w="824" w:type="dxa"/>
            <w:tcBorders>
              <w:top w:val="nil"/>
              <w:left w:val="nil"/>
              <w:bottom w:val="double" w:sz="6" w:space="0" w:color="E26B0A"/>
              <w:right w:val="double" w:sz="6" w:space="0" w:color="E26B0A"/>
            </w:tcBorders>
            <w:shd w:val="clear" w:color="000000" w:fill="FABF8F"/>
            <w:noWrap/>
            <w:vAlign w:val="bottom"/>
            <w:hideMark/>
          </w:tcPr>
          <w:p w14:paraId="1BC20872"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0,5619</w:t>
            </w:r>
          </w:p>
        </w:tc>
        <w:tc>
          <w:tcPr>
            <w:tcW w:w="968" w:type="dxa"/>
            <w:tcBorders>
              <w:top w:val="nil"/>
              <w:left w:val="nil"/>
              <w:bottom w:val="double" w:sz="6" w:space="0" w:color="E26B0A"/>
              <w:right w:val="double" w:sz="6" w:space="0" w:color="E26B0A"/>
            </w:tcBorders>
            <w:shd w:val="clear" w:color="000000" w:fill="FABF8F"/>
            <w:noWrap/>
            <w:vAlign w:val="bottom"/>
            <w:hideMark/>
          </w:tcPr>
          <w:p w14:paraId="7DCAD168"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-0,0260</w:t>
            </w:r>
          </w:p>
        </w:tc>
        <w:tc>
          <w:tcPr>
            <w:tcW w:w="931" w:type="dxa"/>
            <w:tcBorders>
              <w:top w:val="nil"/>
              <w:left w:val="nil"/>
              <w:bottom w:val="double" w:sz="6" w:space="0" w:color="E26B0A"/>
              <w:right w:val="double" w:sz="6" w:space="0" w:color="E26B0A"/>
            </w:tcBorders>
            <w:shd w:val="clear" w:color="000000" w:fill="FABF8F"/>
            <w:noWrap/>
            <w:vAlign w:val="bottom"/>
            <w:hideMark/>
          </w:tcPr>
          <w:p w14:paraId="68D0745F"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-4,6%</w:t>
            </w:r>
          </w:p>
        </w:tc>
        <w:tc>
          <w:tcPr>
            <w:tcW w:w="222" w:type="dxa"/>
            <w:vAlign w:val="center"/>
            <w:hideMark/>
          </w:tcPr>
          <w:p w14:paraId="200D4871" w14:textId="77777777" w:rsidR="005950B3" w:rsidRPr="005950B3" w:rsidRDefault="005950B3" w:rsidP="005950B3">
            <w:pPr>
              <w:rPr>
                <w:rFonts w:ascii="Times New Roman" w:eastAsia="Times New Roman" w:hAnsi="Times New Roman"/>
                <w:sz w:val="20"/>
                <w:szCs w:val="20"/>
                <w:lang w:val="en-US"/>
              </w:rPr>
            </w:pPr>
          </w:p>
        </w:tc>
      </w:tr>
      <w:tr w:rsidR="005950B3" w:rsidRPr="005950B3" w14:paraId="424AB5C3" w14:textId="77777777" w:rsidTr="005950B3">
        <w:trPr>
          <w:trHeight w:val="300"/>
        </w:trPr>
        <w:tc>
          <w:tcPr>
            <w:tcW w:w="706" w:type="dxa"/>
            <w:tcBorders>
              <w:top w:val="nil"/>
              <w:left w:val="double" w:sz="6" w:space="0" w:color="E26B0A"/>
              <w:bottom w:val="double" w:sz="6" w:space="0" w:color="E26B0A"/>
              <w:right w:val="double" w:sz="6" w:space="0" w:color="E26B0A"/>
            </w:tcBorders>
            <w:shd w:val="clear" w:color="auto" w:fill="auto"/>
            <w:noWrap/>
            <w:vAlign w:val="bottom"/>
            <w:hideMark/>
          </w:tcPr>
          <w:p w14:paraId="0B2792FC" w14:textId="77777777" w:rsidR="005950B3" w:rsidRPr="005950B3" w:rsidRDefault="005950B3" w:rsidP="005950B3">
            <w:pPr>
              <w:jc w:val="center"/>
              <w:rPr>
                <w:rFonts w:eastAsia="Times New Roman" w:cs="Calibri"/>
                <w:sz w:val="20"/>
                <w:szCs w:val="20"/>
                <w:lang w:val="en-US"/>
              </w:rPr>
            </w:pPr>
            <w:r w:rsidRPr="005950B3">
              <w:rPr>
                <w:rFonts w:eastAsia="Times New Roman" w:cs="Calibri"/>
                <w:sz w:val="20"/>
                <w:szCs w:val="20"/>
                <w:lang w:val="en-US"/>
              </w:rPr>
              <w:t>19</w:t>
            </w:r>
          </w:p>
        </w:tc>
        <w:tc>
          <w:tcPr>
            <w:tcW w:w="5449" w:type="dxa"/>
            <w:tcBorders>
              <w:top w:val="nil"/>
              <w:left w:val="nil"/>
              <w:bottom w:val="double" w:sz="6" w:space="0" w:color="E26B0A"/>
              <w:right w:val="double" w:sz="6" w:space="0" w:color="E26B0A"/>
            </w:tcBorders>
            <w:shd w:val="clear" w:color="auto" w:fill="auto"/>
            <w:noWrap/>
            <w:vAlign w:val="bottom"/>
            <w:hideMark/>
          </w:tcPr>
          <w:p w14:paraId="083E957B" w14:textId="77777777" w:rsidR="005950B3" w:rsidRPr="005950B3" w:rsidRDefault="005950B3" w:rsidP="005950B3">
            <w:pPr>
              <w:rPr>
                <w:rFonts w:eastAsia="Times New Roman" w:cs="Calibri"/>
                <w:sz w:val="20"/>
                <w:szCs w:val="20"/>
                <w:lang w:val="en-US"/>
              </w:rPr>
            </w:pPr>
            <w:r w:rsidRPr="005950B3">
              <w:rPr>
                <w:rFonts w:eastAsia="Times New Roman" w:cs="Calibri"/>
                <w:sz w:val="20"/>
                <w:szCs w:val="20"/>
                <w:lang w:val="en-US"/>
              </w:rPr>
              <w:t>Коеф. на рентабилност на пасивите (1/8)</w:t>
            </w:r>
          </w:p>
        </w:tc>
        <w:tc>
          <w:tcPr>
            <w:tcW w:w="824" w:type="dxa"/>
            <w:tcBorders>
              <w:top w:val="nil"/>
              <w:left w:val="nil"/>
              <w:bottom w:val="double" w:sz="6" w:space="0" w:color="E26B0A"/>
              <w:right w:val="double" w:sz="6" w:space="0" w:color="E26B0A"/>
            </w:tcBorders>
            <w:shd w:val="clear" w:color="000000" w:fill="FABF8F"/>
            <w:noWrap/>
            <w:vAlign w:val="bottom"/>
            <w:hideMark/>
          </w:tcPr>
          <w:p w14:paraId="63F9518B"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0,3039</w:t>
            </w:r>
          </w:p>
        </w:tc>
        <w:tc>
          <w:tcPr>
            <w:tcW w:w="824" w:type="dxa"/>
            <w:tcBorders>
              <w:top w:val="nil"/>
              <w:left w:val="nil"/>
              <w:bottom w:val="double" w:sz="6" w:space="0" w:color="E26B0A"/>
              <w:right w:val="double" w:sz="6" w:space="0" w:color="E26B0A"/>
            </w:tcBorders>
            <w:shd w:val="clear" w:color="000000" w:fill="FABF8F"/>
            <w:noWrap/>
            <w:vAlign w:val="bottom"/>
            <w:hideMark/>
          </w:tcPr>
          <w:p w14:paraId="6EBA34BC"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0,1444</w:t>
            </w:r>
          </w:p>
        </w:tc>
        <w:tc>
          <w:tcPr>
            <w:tcW w:w="968" w:type="dxa"/>
            <w:tcBorders>
              <w:top w:val="nil"/>
              <w:left w:val="nil"/>
              <w:bottom w:val="double" w:sz="6" w:space="0" w:color="E26B0A"/>
              <w:right w:val="double" w:sz="6" w:space="0" w:color="E26B0A"/>
            </w:tcBorders>
            <w:shd w:val="clear" w:color="000000" w:fill="FABF8F"/>
            <w:noWrap/>
            <w:vAlign w:val="bottom"/>
            <w:hideMark/>
          </w:tcPr>
          <w:p w14:paraId="7885F812"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0,1596</w:t>
            </w:r>
          </w:p>
        </w:tc>
        <w:tc>
          <w:tcPr>
            <w:tcW w:w="931" w:type="dxa"/>
            <w:tcBorders>
              <w:top w:val="nil"/>
              <w:left w:val="nil"/>
              <w:bottom w:val="double" w:sz="6" w:space="0" w:color="E26B0A"/>
              <w:right w:val="double" w:sz="6" w:space="0" w:color="E26B0A"/>
            </w:tcBorders>
            <w:shd w:val="clear" w:color="000000" w:fill="FABF8F"/>
            <w:noWrap/>
            <w:vAlign w:val="bottom"/>
            <w:hideMark/>
          </w:tcPr>
          <w:p w14:paraId="468ABA68"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110,5%</w:t>
            </w:r>
          </w:p>
        </w:tc>
        <w:tc>
          <w:tcPr>
            <w:tcW w:w="222" w:type="dxa"/>
            <w:vAlign w:val="center"/>
            <w:hideMark/>
          </w:tcPr>
          <w:p w14:paraId="531E08F6" w14:textId="77777777" w:rsidR="005950B3" w:rsidRPr="005950B3" w:rsidRDefault="005950B3" w:rsidP="005950B3">
            <w:pPr>
              <w:rPr>
                <w:rFonts w:ascii="Times New Roman" w:eastAsia="Times New Roman" w:hAnsi="Times New Roman"/>
                <w:sz w:val="20"/>
                <w:szCs w:val="20"/>
                <w:lang w:val="en-US"/>
              </w:rPr>
            </w:pPr>
          </w:p>
        </w:tc>
      </w:tr>
      <w:tr w:rsidR="005950B3" w:rsidRPr="005950B3" w14:paraId="0595A547" w14:textId="77777777" w:rsidTr="005950B3">
        <w:trPr>
          <w:trHeight w:val="300"/>
        </w:trPr>
        <w:tc>
          <w:tcPr>
            <w:tcW w:w="706" w:type="dxa"/>
            <w:tcBorders>
              <w:top w:val="nil"/>
              <w:left w:val="double" w:sz="6" w:space="0" w:color="E26B0A"/>
              <w:bottom w:val="double" w:sz="6" w:space="0" w:color="E26B0A"/>
              <w:right w:val="double" w:sz="6" w:space="0" w:color="E26B0A"/>
            </w:tcBorders>
            <w:shd w:val="clear" w:color="auto" w:fill="auto"/>
            <w:noWrap/>
            <w:vAlign w:val="bottom"/>
            <w:hideMark/>
          </w:tcPr>
          <w:p w14:paraId="472BBF00" w14:textId="77777777" w:rsidR="005950B3" w:rsidRPr="005950B3" w:rsidRDefault="005950B3" w:rsidP="005950B3">
            <w:pPr>
              <w:jc w:val="center"/>
              <w:rPr>
                <w:rFonts w:eastAsia="Times New Roman" w:cs="Calibri"/>
                <w:sz w:val="20"/>
                <w:szCs w:val="20"/>
                <w:lang w:val="en-US"/>
              </w:rPr>
            </w:pPr>
            <w:r w:rsidRPr="005950B3">
              <w:rPr>
                <w:rFonts w:eastAsia="Times New Roman" w:cs="Calibri"/>
                <w:sz w:val="20"/>
                <w:szCs w:val="20"/>
                <w:lang w:val="en-US"/>
              </w:rPr>
              <w:t>20</w:t>
            </w:r>
          </w:p>
        </w:tc>
        <w:tc>
          <w:tcPr>
            <w:tcW w:w="5449" w:type="dxa"/>
            <w:tcBorders>
              <w:top w:val="nil"/>
              <w:left w:val="nil"/>
              <w:bottom w:val="double" w:sz="6" w:space="0" w:color="E26B0A"/>
              <w:right w:val="double" w:sz="6" w:space="0" w:color="E26B0A"/>
            </w:tcBorders>
            <w:shd w:val="clear" w:color="auto" w:fill="auto"/>
            <w:noWrap/>
            <w:vAlign w:val="bottom"/>
            <w:hideMark/>
          </w:tcPr>
          <w:p w14:paraId="744B2F93" w14:textId="77777777" w:rsidR="005950B3" w:rsidRPr="005950B3" w:rsidRDefault="005950B3" w:rsidP="005950B3">
            <w:pPr>
              <w:rPr>
                <w:rFonts w:eastAsia="Times New Roman" w:cs="Calibri"/>
                <w:sz w:val="20"/>
                <w:szCs w:val="20"/>
                <w:lang w:val="en-US"/>
              </w:rPr>
            </w:pPr>
            <w:r w:rsidRPr="005950B3">
              <w:rPr>
                <w:rFonts w:eastAsia="Times New Roman" w:cs="Calibri"/>
                <w:sz w:val="20"/>
                <w:szCs w:val="20"/>
                <w:lang w:val="en-US"/>
              </w:rPr>
              <w:t>Коеф. на капитализация на активите (1/9)</w:t>
            </w:r>
          </w:p>
        </w:tc>
        <w:tc>
          <w:tcPr>
            <w:tcW w:w="824" w:type="dxa"/>
            <w:tcBorders>
              <w:top w:val="nil"/>
              <w:left w:val="nil"/>
              <w:bottom w:val="double" w:sz="6" w:space="0" w:color="E26B0A"/>
              <w:right w:val="double" w:sz="6" w:space="0" w:color="E26B0A"/>
            </w:tcBorders>
            <w:shd w:val="clear" w:color="000000" w:fill="FABF8F"/>
            <w:noWrap/>
            <w:vAlign w:val="bottom"/>
            <w:hideMark/>
          </w:tcPr>
          <w:p w14:paraId="036D0CAC"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0,1939</w:t>
            </w:r>
          </w:p>
        </w:tc>
        <w:tc>
          <w:tcPr>
            <w:tcW w:w="824" w:type="dxa"/>
            <w:tcBorders>
              <w:top w:val="nil"/>
              <w:left w:val="nil"/>
              <w:bottom w:val="double" w:sz="6" w:space="0" w:color="E26B0A"/>
              <w:right w:val="double" w:sz="6" w:space="0" w:color="E26B0A"/>
            </w:tcBorders>
            <w:shd w:val="clear" w:color="000000" w:fill="FABF8F"/>
            <w:noWrap/>
            <w:vAlign w:val="bottom"/>
            <w:hideMark/>
          </w:tcPr>
          <w:p w14:paraId="098BD61D"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0,1149</w:t>
            </w:r>
          </w:p>
        </w:tc>
        <w:tc>
          <w:tcPr>
            <w:tcW w:w="968" w:type="dxa"/>
            <w:tcBorders>
              <w:top w:val="nil"/>
              <w:left w:val="nil"/>
              <w:bottom w:val="double" w:sz="6" w:space="0" w:color="E26B0A"/>
              <w:right w:val="double" w:sz="6" w:space="0" w:color="E26B0A"/>
            </w:tcBorders>
            <w:shd w:val="clear" w:color="000000" w:fill="FABF8F"/>
            <w:noWrap/>
            <w:vAlign w:val="bottom"/>
            <w:hideMark/>
          </w:tcPr>
          <w:p w14:paraId="54A1CFC8"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0,0791</w:t>
            </w:r>
          </w:p>
        </w:tc>
        <w:tc>
          <w:tcPr>
            <w:tcW w:w="931" w:type="dxa"/>
            <w:tcBorders>
              <w:top w:val="nil"/>
              <w:left w:val="nil"/>
              <w:bottom w:val="double" w:sz="6" w:space="0" w:color="E26B0A"/>
              <w:right w:val="double" w:sz="6" w:space="0" w:color="E26B0A"/>
            </w:tcBorders>
            <w:shd w:val="clear" w:color="000000" w:fill="FABF8F"/>
            <w:noWrap/>
            <w:vAlign w:val="bottom"/>
            <w:hideMark/>
          </w:tcPr>
          <w:p w14:paraId="5EACFCCD"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68,9%</w:t>
            </w:r>
          </w:p>
        </w:tc>
        <w:tc>
          <w:tcPr>
            <w:tcW w:w="222" w:type="dxa"/>
            <w:vAlign w:val="center"/>
            <w:hideMark/>
          </w:tcPr>
          <w:p w14:paraId="2D6B39D0" w14:textId="77777777" w:rsidR="005950B3" w:rsidRPr="005950B3" w:rsidRDefault="005950B3" w:rsidP="005950B3">
            <w:pPr>
              <w:rPr>
                <w:rFonts w:ascii="Times New Roman" w:eastAsia="Times New Roman" w:hAnsi="Times New Roman"/>
                <w:sz w:val="20"/>
                <w:szCs w:val="20"/>
                <w:lang w:val="en-US"/>
              </w:rPr>
            </w:pPr>
          </w:p>
        </w:tc>
      </w:tr>
      <w:tr w:rsidR="005950B3" w:rsidRPr="005950B3" w14:paraId="408EFE6F" w14:textId="77777777" w:rsidTr="005950B3">
        <w:trPr>
          <w:trHeight w:val="300"/>
        </w:trPr>
        <w:tc>
          <w:tcPr>
            <w:tcW w:w="9702" w:type="dxa"/>
            <w:gridSpan w:val="6"/>
            <w:tcBorders>
              <w:top w:val="double" w:sz="6" w:space="0" w:color="E26B0A"/>
              <w:left w:val="double" w:sz="6" w:space="0" w:color="E26B0A"/>
              <w:bottom w:val="double" w:sz="6" w:space="0" w:color="E26B0A"/>
              <w:right w:val="double" w:sz="6" w:space="0" w:color="E26B0A"/>
            </w:tcBorders>
            <w:shd w:val="clear" w:color="000000" w:fill="E26B0A"/>
            <w:noWrap/>
            <w:vAlign w:val="bottom"/>
            <w:hideMark/>
          </w:tcPr>
          <w:p w14:paraId="58F2378F" w14:textId="77777777" w:rsidR="005950B3" w:rsidRPr="005950B3" w:rsidRDefault="005950B3" w:rsidP="005950B3">
            <w:pPr>
              <w:jc w:val="center"/>
              <w:rPr>
                <w:rFonts w:eastAsia="Times New Roman" w:cs="Calibri"/>
                <w:b/>
                <w:bCs/>
                <w:color w:val="FFFFFF"/>
                <w:sz w:val="20"/>
                <w:szCs w:val="20"/>
                <w:lang w:val="en-US"/>
              </w:rPr>
            </w:pPr>
            <w:r w:rsidRPr="005950B3">
              <w:rPr>
                <w:rFonts w:eastAsia="Times New Roman" w:cs="Calibri"/>
                <w:b/>
                <w:bCs/>
                <w:color w:val="FFFFFF"/>
                <w:sz w:val="20"/>
                <w:szCs w:val="20"/>
                <w:lang w:val="en-US"/>
              </w:rPr>
              <w:t>Ефективност:</w:t>
            </w:r>
          </w:p>
        </w:tc>
        <w:tc>
          <w:tcPr>
            <w:tcW w:w="222" w:type="dxa"/>
            <w:vAlign w:val="center"/>
            <w:hideMark/>
          </w:tcPr>
          <w:p w14:paraId="5F4A4D94" w14:textId="77777777" w:rsidR="005950B3" w:rsidRPr="005950B3" w:rsidRDefault="005950B3" w:rsidP="005950B3">
            <w:pPr>
              <w:rPr>
                <w:rFonts w:ascii="Times New Roman" w:eastAsia="Times New Roman" w:hAnsi="Times New Roman"/>
                <w:sz w:val="20"/>
                <w:szCs w:val="20"/>
                <w:lang w:val="en-US"/>
              </w:rPr>
            </w:pPr>
          </w:p>
        </w:tc>
      </w:tr>
      <w:tr w:rsidR="005950B3" w:rsidRPr="005950B3" w14:paraId="68D9E5C4" w14:textId="77777777" w:rsidTr="005950B3">
        <w:trPr>
          <w:trHeight w:val="300"/>
        </w:trPr>
        <w:tc>
          <w:tcPr>
            <w:tcW w:w="706" w:type="dxa"/>
            <w:tcBorders>
              <w:top w:val="nil"/>
              <w:left w:val="double" w:sz="6" w:space="0" w:color="E26B0A"/>
              <w:bottom w:val="double" w:sz="6" w:space="0" w:color="E26B0A"/>
              <w:right w:val="double" w:sz="6" w:space="0" w:color="E26B0A"/>
            </w:tcBorders>
            <w:shd w:val="clear" w:color="auto" w:fill="auto"/>
            <w:noWrap/>
            <w:vAlign w:val="bottom"/>
            <w:hideMark/>
          </w:tcPr>
          <w:p w14:paraId="48C3AFBB" w14:textId="77777777" w:rsidR="005950B3" w:rsidRPr="005950B3" w:rsidRDefault="005950B3" w:rsidP="005950B3">
            <w:pPr>
              <w:jc w:val="center"/>
              <w:rPr>
                <w:rFonts w:eastAsia="Times New Roman" w:cs="Calibri"/>
                <w:sz w:val="20"/>
                <w:szCs w:val="20"/>
                <w:lang w:val="en-US"/>
              </w:rPr>
            </w:pPr>
            <w:r w:rsidRPr="005950B3">
              <w:rPr>
                <w:rFonts w:eastAsia="Times New Roman" w:cs="Calibri"/>
                <w:sz w:val="20"/>
                <w:szCs w:val="20"/>
                <w:lang w:val="en-US"/>
              </w:rPr>
              <w:t>21</w:t>
            </w:r>
          </w:p>
        </w:tc>
        <w:tc>
          <w:tcPr>
            <w:tcW w:w="5449" w:type="dxa"/>
            <w:tcBorders>
              <w:top w:val="nil"/>
              <w:left w:val="nil"/>
              <w:bottom w:val="double" w:sz="6" w:space="0" w:color="E26B0A"/>
              <w:right w:val="double" w:sz="6" w:space="0" w:color="E26B0A"/>
            </w:tcBorders>
            <w:shd w:val="clear" w:color="auto" w:fill="auto"/>
            <w:noWrap/>
            <w:vAlign w:val="bottom"/>
            <w:hideMark/>
          </w:tcPr>
          <w:p w14:paraId="163976BF" w14:textId="77777777" w:rsidR="005950B3" w:rsidRPr="005950B3" w:rsidRDefault="005950B3" w:rsidP="005950B3">
            <w:pPr>
              <w:rPr>
                <w:rFonts w:eastAsia="Times New Roman" w:cs="Calibri"/>
                <w:sz w:val="20"/>
                <w:szCs w:val="20"/>
                <w:lang w:val="en-US"/>
              </w:rPr>
            </w:pPr>
            <w:r w:rsidRPr="005950B3">
              <w:rPr>
                <w:rFonts w:eastAsia="Times New Roman" w:cs="Calibri"/>
                <w:sz w:val="20"/>
                <w:szCs w:val="20"/>
                <w:lang w:val="en-US"/>
              </w:rPr>
              <w:t>Коеф. на ефективност на разходите (4/6)</w:t>
            </w:r>
          </w:p>
        </w:tc>
        <w:tc>
          <w:tcPr>
            <w:tcW w:w="824" w:type="dxa"/>
            <w:tcBorders>
              <w:top w:val="nil"/>
              <w:left w:val="nil"/>
              <w:bottom w:val="double" w:sz="6" w:space="0" w:color="E26B0A"/>
              <w:right w:val="double" w:sz="6" w:space="0" w:color="E26B0A"/>
            </w:tcBorders>
            <w:shd w:val="clear" w:color="000000" w:fill="FABF8F"/>
            <w:noWrap/>
            <w:vAlign w:val="bottom"/>
            <w:hideMark/>
          </w:tcPr>
          <w:p w14:paraId="358D40C0"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1,1224</w:t>
            </w:r>
          </w:p>
        </w:tc>
        <w:tc>
          <w:tcPr>
            <w:tcW w:w="824" w:type="dxa"/>
            <w:tcBorders>
              <w:top w:val="nil"/>
              <w:left w:val="nil"/>
              <w:bottom w:val="double" w:sz="6" w:space="0" w:color="E26B0A"/>
              <w:right w:val="double" w:sz="6" w:space="0" w:color="E26B0A"/>
            </w:tcBorders>
            <w:shd w:val="clear" w:color="000000" w:fill="FABF8F"/>
            <w:noWrap/>
            <w:vAlign w:val="bottom"/>
            <w:hideMark/>
          </w:tcPr>
          <w:p w14:paraId="06F9C48B"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1,0682</w:t>
            </w:r>
          </w:p>
        </w:tc>
        <w:tc>
          <w:tcPr>
            <w:tcW w:w="968" w:type="dxa"/>
            <w:tcBorders>
              <w:top w:val="nil"/>
              <w:left w:val="nil"/>
              <w:bottom w:val="double" w:sz="6" w:space="0" w:color="E26B0A"/>
              <w:right w:val="double" w:sz="6" w:space="0" w:color="E26B0A"/>
            </w:tcBorders>
            <w:shd w:val="clear" w:color="000000" w:fill="FABF8F"/>
            <w:noWrap/>
            <w:vAlign w:val="bottom"/>
            <w:hideMark/>
          </w:tcPr>
          <w:p w14:paraId="36F5C437"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0,0542</w:t>
            </w:r>
          </w:p>
        </w:tc>
        <w:tc>
          <w:tcPr>
            <w:tcW w:w="931" w:type="dxa"/>
            <w:tcBorders>
              <w:top w:val="nil"/>
              <w:left w:val="nil"/>
              <w:bottom w:val="double" w:sz="6" w:space="0" w:color="E26B0A"/>
              <w:right w:val="double" w:sz="6" w:space="0" w:color="E26B0A"/>
            </w:tcBorders>
            <w:shd w:val="clear" w:color="000000" w:fill="FABF8F"/>
            <w:noWrap/>
            <w:vAlign w:val="bottom"/>
            <w:hideMark/>
          </w:tcPr>
          <w:p w14:paraId="0D7542E8"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5,1%</w:t>
            </w:r>
          </w:p>
        </w:tc>
        <w:tc>
          <w:tcPr>
            <w:tcW w:w="222" w:type="dxa"/>
            <w:vAlign w:val="center"/>
            <w:hideMark/>
          </w:tcPr>
          <w:p w14:paraId="66947859" w14:textId="77777777" w:rsidR="005950B3" w:rsidRPr="005950B3" w:rsidRDefault="005950B3" w:rsidP="005950B3">
            <w:pPr>
              <w:rPr>
                <w:rFonts w:ascii="Times New Roman" w:eastAsia="Times New Roman" w:hAnsi="Times New Roman"/>
                <w:sz w:val="20"/>
                <w:szCs w:val="20"/>
                <w:lang w:val="en-US"/>
              </w:rPr>
            </w:pPr>
          </w:p>
        </w:tc>
      </w:tr>
      <w:tr w:rsidR="005950B3" w:rsidRPr="005950B3" w14:paraId="22895A3E" w14:textId="77777777" w:rsidTr="005950B3">
        <w:trPr>
          <w:trHeight w:val="300"/>
        </w:trPr>
        <w:tc>
          <w:tcPr>
            <w:tcW w:w="706" w:type="dxa"/>
            <w:tcBorders>
              <w:top w:val="nil"/>
              <w:left w:val="double" w:sz="6" w:space="0" w:color="E26B0A"/>
              <w:bottom w:val="double" w:sz="6" w:space="0" w:color="E26B0A"/>
              <w:right w:val="double" w:sz="6" w:space="0" w:color="E26B0A"/>
            </w:tcBorders>
            <w:shd w:val="clear" w:color="auto" w:fill="auto"/>
            <w:noWrap/>
            <w:vAlign w:val="bottom"/>
            <w:hideMark/>
          </w:tcPr>
          <w:p w14:paraId="0A507E93" w14:textId="77777777" w:rsidR="005950B3" w:rsidRPr="005950B3" w:rsidRDefault="005950B3" w:rsidP="005950B3">
            <w:pPr>
              <w:jc w:val="center"/>
              <w:rPr>
                <w:rFonts w:eastAsia="Times New Roman" w:cs="Calibri"/>
                <w:sz w:val="20"/>
                <w:szCs w:val="20"/>
                <w:lang w:val="en-US"/>
              </w:rPr>
            </w:pPr>
            <w:r w:rsidRPr="005950B3">
              <w:rPr>
                <w:rFonts w:eastAsia="Times New Roman" w:cs="Calibri"/>
                <w:sz w:val="20"/>
                <w:szCs w:val="20"/>
                <w:lang w:val="en-US"/>
              </w:rPr>
              <w:t>22</w:t>
            </w:r>
          </w:p>
        </w:tc>
        <w:tc>
          <w:tcPr>
            <w:tcW w:w="5449" w:type="dxa"/>
            <w:tcBorders>
              <w:top w:val="nil"/>
              <w:left w:val="nil"/>
              <w:bottom w:val="double" w:sz="6" w:space="0" w:color="E26B0A"/>
              <w:right w:val="double" w:sz="6" w:space="0" w:color="E26B0A"/>
            </w:tcBorders>
            <w:shd w:val="clear" w:color="auto" w:fill="auto"/>
            <w:noWrap/>
            <w:vAlign w:val="bottom"/>
            <w:hideMark/>
          </w:tcPr>
          <w:p w14:paraId="4D14963B" w14:textId="77777777" w:rsidR="005950B3" w:rsidRPr="005950B3" w:rsidRDefault="005950B3" w:rsidP="005950B3">
            <w:pPr>
              <w:rPr>
                <w:rFonts w:eastAsia="Times New Roman" w:cs="Calibri"/>
                <w:sz w:val="20"/>
                <w:szCs w:val="20"/>
                <w:lang w:val="en-US"/>
              </w:rPr>
            </w:pPr>
            <w:r w:rsidRPr="005950B3">
              <w:rPr>
                <w:rFonts w:eastAsia="Times New Roman" w:cs="Calibri"/>
                <w:sz w:val="20"/>
                <w:szCs w:val="20"/>
                <w:lang w:val="en-US"/>
              </w:rPr>
              <w:t>Коефициент на ефективност на разходите от оперативна дейност (3/5)</w:t>
            </w:r>
          </w:p>
        </w:tc>
        <w:tc>
          <w:tcPr>
            <w:tcW w:w="824" w:type="dxa"/>
            <w:tcBorders>
              <w:top w:val="nil"/>
              <w:left w:val="nil"/>
              <w:bottom w:val="double" w:sz="6" w:space="0" w:color="E26B0A"/>
              <w:right w:val="double" w:sz="6" w:space="0" w:color="E26B0A"/>
            </w:tcBorders>
            <w:shd w:val="clear" w:color="000000" w:fill="FABF8F"/>
            <w:noWrap/>
            <w:vAlign w:val="bottom"/>
            <w:hideMark/>
          </w:tcPr>
          <w:p w14:paraId="29D4448E"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1,1252</w:t>
            </w:r>
          </w:p>
        </w:tc>
        <w:tc>
          <w:tcPr>
            <w:tcW w:w="824" w:type="dxa"/>
            <w:tcBorders>
              <w:top w:val="nil"/>
              <w:left w:val="nil"/>
              <w:bottom w:val="double" w:sz="6" w:space="0" w:color="E26B0A"/>
              <w:right w:val="double" w:sz="6" w:space="0" w:color="E26B0A"/>
            </w:tcBorders>
            <w:shd w:val="clear" w:color="000000" w:fill="FABF8F"/>
            <w:noWrap/>
            <w:vAlign w:val="bottom"/>
            <w:hideMark/>
          </w:tcPr>
          <w:p w14:paraId="4F56BD5F"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1,0743</w:t>
            </w:r>
          </w:p>
        </w:tc>
        <w:tc>
          <w:tcPr>
            <w:tcW w:w="968" w:type="dxa"/>
            <w:tcBorders>
              <w:top w:val="nil"/>
              <w:left w:val="nil"/>
              <w:bottom w:val="double" w:sz="6" w:space="0" w:color="E26B0A"/>
              <w:right w:val="double" w:sz="6" w:space="0" w:color="E26B0A"/>
            </w:tcBorders>
            <w:shd w:val="clear" w:color="000000" w:fill="FABF8F"/>
            <w:noWrap/>
            <w:vAlign w:val="bottom"/>
            <w:hideMark/>
          </w:tcPr>
          <w:p w14:paraId="4DABD1C8"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0,0509</w:t>
            </w:r>
          </w:p>
        </w:tc>
        <w:tc>
          <w:tcPr>
            <w:tcW w:w="931" w:type="dxa"/>
            <w:tcBorders>
              <w:top w:val="nil"/>
              <w:left w:val="nil"/>
              <w:bottom w:val="double" w:sz="6" w:space="0" w:color="E26B0A"/>
              <w:right w:val="double" w:sz="6" w:space="0" w:color="E26B0A"/>
            </w:tcBorders>
            <w:shd w:val="clear" w:color="000000" w:fill="FABF8F"/>
            <w:noWrap/>
            <w:vAlign w:val="bottom"/>
            <w:hideMark/>
          </w:tcPr>
          <w:p w14:paraId="539BD18D"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4,7%</w:t>
            </w:r>
          </w:p>
        </w:tc>
        <w:tc>
          <w:tcPr>
            <w:tcW w:w="222" w:type="dxa"/>
            <w:vAlign w:val="center"/>
            <w:hideMark/>
          </w:tcPr>
          <w:p w14:paraId="1BC2FDA5" w14:textId="77777777" w:rsidR="005950B3" w:rsidRPr="005950B3" w:rsidRDefault="005950B3" w:rsidP="005950B3">
            <w:pPr>
              <w:rPr>
                <w:rFonts w:ascii="Times New Roman" w:eastAsia="Times New Roman" w:hAnsi="Times New Roman"/>
                <w:sz w:val="20"/>
                <w:szCs w:val="20"/>
                <w:lang w:val="en-US"/>
              </w:rPr>
            </w:pPr>
          </w:p>
        </w:tc>
      </w:tr>
      <w:tr w:rsidR="005950B3" w:rsidRPr="005950B3" w14:paraId="34C47E08" w14:textId="77777777" w:rsidTr="005950B3">
        <w:trPr>
          <w:trHeight w:val="300"/>
        </w:trPr>
        <w:tc>
          <w:tcPr>
            <w:tcW w:w="9702" w:type="dxa"/>
            <w:gridSpan w:val="6"/>
            <w:tcBorders>
              <w:top w:val="double" w:sz="6" w:space="0" w:color="E26B0A"/>
              <w:left w:val="double" w:sz="6" w:space="0" w:color="E26B0A"/>
              <w:bottom w:val="double" w:sz="6" w:space="0" w:color="E26B0A"/>
              <w:right w:val="double" w:sz="6" w:space="0" w:color="E26B0A"/>
            </w:tcBorders>
            <w:shd w:val="clear" w:color="000000" w:fill="E26B0A"/>
            <w:noWrap/>
            <w:vAlign w:val="bottom"/>
            <w:hideMark/>
          </w:tcPr>
          <w:p w14:paraId="0A57B1F3" w14:textId="77777777" w:rsidR="005950B3" w:rsidRPr="005950B3" w:rsidRDefault="005950B3" w:rsidP="005950B3">
            <w:pPr>
              <w:jc w:val="center"/>
              <w:rPr>
                <w:rFonts w:eastAsia="Times New Roman" w:cs="Calibri"/>
                <w:b/>
                <w:bCs/>
                <w:color w:val="FFFFFF"/>
                <w:sz w:val="20"/>
                <w:szCs w:val="20"/>
                <w:lang w:val="en-US"/>
              </w:rPr>
            </w:pPr>
            <w:r w:rsidRPr="005950B3">
              <w:rPr>
                <w:rFonts w:eastAsia="Times New Roman" w:cs="Calibri"/>
                <w:b/>
                <w:bCs/>
                <w:color w:val="FFFFFF"/>
                <w:sz w:val="20"/>
                <w:szCs w:val="20"/>
                <w:lang w:val="en-US"/>
              </w:rPr>
              <w:t>Ликвидност:</w:t>
            </w:r>
          </w:p>
        </w:tc>
        <w:tc>
          <w:tcPr>
            <w:tcW w:w="222" w:type="dxa"/>
            <w:vAlign w:val="center"/>
            <w:hideMark/>
          </w:tcPr>
          <w:p w14:paraId="61527E4F" w14:textId="77777777" w:rsidR="005950B3" w:rsidRPr="005950B3" w:rsidRDefault="005950B3" w:rsidP="005950B3">
            <w:pPr>
              <w:rPr>
                <w:rFonts w:ascii="Times New Roman" w:eastAsia="Times New Roman" w:hAnsi="Times New Roman"/>
                <w:sz w:val="20"/>
                <w:szCs w:val="20"/>
                <w:lang w:val="en-US"/>
              </w:rPr>
            </w:pPr>
          </w:p>
        </w:tc>
      </w:tr>
      <w:tr w:rsidR="005950B3" w:rsidRPr="005950B3" w14:paraId="1A47C7E8" w14:textId="77777777" w:rsidTr="005950B3">
        <w:trPr>
          <w:trHeight w:val="300"/>
        </w:trPr>
        <w:tc>
          <w:tcPr>
            <w:tcW w:w="706" w:type="dxa"/>
            <w:tcBorders>
              <w:top w:val="nil"/>
              <w:left w:val="double" w:sz="6" w:space="0" w:color="E26B0A"/>
              <w:bottom w:val="double" w:sz="6" w:space="0" w:color="E26B0A"/>
              <w:right w:val="double" w:sz="6" w:space="0" w:color="E26B0A"/>
            </w:tcBorders>
            <w:shd w:val="clear" w:color="auto" w:fill="auto"/>
            <w:noWrap/>
            <w:vAlign w:val="bottom"/>
            <w:hideMark/>
          </w:tcPr>
          <w:p w14:paraId="7123D0DF" w14:textId="77777777" w:rsidR="005950B3" w:rsidRPr="005950B3" w:rsidRDefault="005950B3" w:rsidP="005950B3">
            <w:pPr>
              <w:jc w:val="center"/>
              <w:rPr>
                <w:rFonts w:eastAsia="Times New Roman" w:cs="Calibri"/>
                <w:sz w:val="20"/>
                <w:szCs w:val="20"/>
                <w:lang w:val="en-US"/>
              </w:rPr>
            </w:pPr>
            <w:r w:rsidRPr="005950B3">
              <w:rPr>
                <w:rFonts w:eastAsia="Times New Roman" w:cs="Calibri"/>
                <w:sz w:val="20"/>
                <w:szCs w:val="20"/>
                <w:lang w:val="en-US"/>
              </w:rPr>
              <w:t>23</w:t>
            </w:r>
          </w:p>
        </w:tc>
        <w:tc>
          <w:tcPr>
            <w:tcW w:w="5449" w:type="dxa"/>
            <w:tcBorders>
              <w:top w:val="nil"/>
              <w:left w:val="nil"/>
              <w:bottom w:val="double" w:sz="6" w:space="0" w:color="E26B0A"/>
              <w:right w:val="double" w:sz="6" w:space="0" w:color="E26B0A"/>
            </w:tcBorders>
            <w:shd w:val="clear" w:color="auto" w:fill="auto"/>
            <w:noWrap/>
            <w:vAlign w:val="bottom"/>
            <w:hideMark/>
          </w:tcPr>
          <w:p w14:paraId="0610DE4C" w14:textId="77777777" w:rsidR="005950B3" w:rsidRPr="005950B3" w:rsidRDefault="005950B3" w:rsidP="005950B3">
            <w:pPr>
              <w:rPr>
                <w:rFonts w:eastAsia="Times New Roman" w:cs="Calibri"/>
                <w:sz w:val="20"/>
                <w:szCs w:val="20"/>
                <w:lang w:val="en-US"/>
              </w:rPr>
            </w:pPr>
            <w:r w:rsidRPr="005950B3">
              <w:rPr>
                <w:rFonts w:eastAsia="Times New Roman" w:cs="Calibri"/>
                <w:sz w:val="20"/>
                <w:szCs w:val="20"/>
                <w:lang w:val="en-US"/>
              </w:rPr>
              <w:t>Коеф. на обща ликвидност (10/11)</w:t>
            </w:r>
          </w:p>
        </w:tc>
        <w:tc>
          <w:tcPr>
            <w:tcW w:w="824" w:type="dxa"/>
            <w:tcBorders>
              <w:top w:val="nil"/>
              <w:left w:val="nil"/>
              <w:bottom w:val="double" w:sz="6" w:space="0" w:color="E26B0A"/>
              <w:right w:val="double" w:sz="6" w:space="0" w:color="E26B0A"/>
            </w:tcBorders>
            <w:shd w:val="clear" w:color="000000" w:fill="FABF8F"/>
            <w:noWrap/>
            <w:vAlign w:val="bottom"/>
            <w:hideMark/>
          </w:tcPr>
          <w:p w14:paraId="502CB0A5"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1,9095</w:t>
            </w:r>
          </w:p>
        </w:tc>
        <w:tc>
          <w:tcPr>
            <w:tcW w:w="824" w:type="dxa"/>
            <w:tcBorders>
              <w:top w:val="nil"/>
              <w:left w:val="nil"/>
              <w:bottom w:val="double" w:sz="6" w:space="0" w:color="E26B0A"/>
              <w:right w:val="double" w:sz="6" w:space="0" w:color="E26B0A"/>
            </w:tcBorders>
            <w:shd w:val="clear" w:color="000000" w:fill="FABF8F"/>
            <w:noWrap/>
            <w:vAlign w:val="bottom"/>
            <w:hideMark/>
          </w:tcPr>
          <w:p w14:paraId="5D819C21"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0,6410</w:t>
            </w:r>
          </w:p>
        </w:tc>
        <w:tc>
          <w:tcPr>
            <w:tcW w:w="968" w:type="dxa"/>
            <w:tcBorders>
              <w:top w:val="nil"/>
              <w:left w:val="nil"/>
              <w:bottom w:val="double" w:sz="6" w:space="0" w:color="E26B0A"/>
              <w:right w:val="double" w:sz="6" w:space="0" w:color="E26B0A"/>
            </w:tcBorders>
            <w:shd w:val="clear" w:color="000000" w:fill="FABF8F"/>
            <w:noWrap/>
            <w:vAlign w:val="bottom"/>
            <w:hideMark/>
          </w:tcPr>
          <w:p w14:paraId="504F974C"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1,2685</w:t>
            </w:r>
          </w:p>
        </w:tc>
        <w:tc>
          <w:tcPr>
            <w:tcW w:w="931" w:type="dxa"/>
            <w:tcBorders>
              <w:top w:val="nil"/>
              <w:left w:val="nil"/>
              <w:bottom w:val="double" w:sz="6" w:space="0" w:color="E26B0A"/>
              <w:right w:val="double" w:sz="6" w:space="0" w:color="E26B0A"/>
            </w:tcBorders>
            <w:shd w:val="clear" w:color="000000" w:fill="FABF8F"/>
            <w:noWrap/>
            <w:vAlign w:val="bottom"/>
            <w:hideMark/>
          </w:tcPr>
          <w:p w14:paraId="186C1B60"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197,9%</w:t>
            </w:r>
          </w:p>
        </w:tc>
        <w:tc>
          <w:tcPr>
            <w:tcW w:w="222" w:type="dxa"/>
            <w:vAlign w:val="center"/>
            <w:hideMark/>
          </w:tcPr>
          <w:p w14:paraId="0662E069" w14:textId="77777777" w:rsidR="005950B3" w:rsidRPr="005950B3" w:rsidRDefault="005950B3" w:rsidP="005950B3">
            <w:pPr>
              <w:rPr>
                <w:rFonts w:ascii="Times New Roman" w:eastAsia="Times New Roman" w:hAnsi="Times New Roman"/>
                <w:sz w:val="20"/>
                <w:szCs w:val="20"/>
                <w:lang w:val="en-US"/>
              </w:rPr>
            </w:pPr>
          </w:p>
        </w:tc>
      </w:tr>
      <w:tr w:rsidR="005950B3" w:rsidRPr="005950B3" w14:paraId="1C8F7423" w14:textId="77777777" w:rsidTr="005950B3">
        <w:trPr>
          <w:trHeight w:val="300"/>
        </w:trPr>
        <w:tc>
          <w:tcPr>
            <w:tcW w:w="706" w:type="dxa"/>
            <w:tcBorders>
              <w:top w:val="nil"/>
              <w:left w:val="double" w:sz="6" w:space="0" w:color="E26B0A"/>
              <w:bottom w:val="double" w:sz="6" w:space="0" w:color="E26B0A"/>
              <w:right w:val="double" w:sz="6" w:space="0" w:color="E26B0A"/>
            </w:tcBorders>
            <w:shd w:val="clear" w:color="auto" w:fill="auto"/>
            <w:noWrap/>
            <w:vAlign w:val="bottom"/>
            <w:hideMark/>
          </w:tcPr>
          <w:p w14:paraId="4ECCC5C1" w14:textId="77777777" w:rsidR="005950B3" w:rsidRPr="005950B3" w:rsidRDefault="005950B3" w:rsidP="005950B3">
            <w:pPr>
              <w:jc w:val="center"/>
              <w:rPr>
                <w:rFonts w:eastAsia="Times New Roman" w:cs="Calibri"/>
                <w:sz w:val="20"/>
                <w:szCs w:val="20"/>
                <w:lang w:val="en-US"/>
              </w:rPr>
            </w:pPr>
            <w:r w:rsidRPr="005950B3">
              <w:rPr>
                <w:rFonts w:eastAsia="Times New Roman" w:cs="Calibri"/>
                <w:sz w:val="20"/>
                <w:szCs w:val="20"/>
                <w:lang w:val="en-US"/>
              </w:rPr>
              <w:t>24</w:t>
            </w:r>
          </w:p>
        </w:tc>
        <w:tc>
          <w:tcPr>
            <w:tcW w:w="5449" w:type="dxa"/>
            <w:tcBorders>
              <w:top w:val="nil"/>
              <w:left w:val="nil"/>
              <w:bottom w:val="double" w:sz="6" w:space="0" w:color="E26B0A"/>
              <w:right w:val="double" w:sz="6" w:space="0" w:color="E26B0A"/>
            </w:tcBorders>
            <w:shd w:val="clear" w:color="auto" w:fill="auto"/>
            <w:noWrap/>
            <w:vAlign w:val="bottom"/>
            <w:hideMark/>
          </w:tcPr>
          <w:p w14:paraId="20CB58FA" w14:textId="77777777" w:rsidR="005950B3" w:rsidRPr="005950B3" w:rsidRDefault="005950B3" w:rsidP="005950B3">
            <w:pPr>
              <w:rPr>
                <w:rFonts w:eastAsia="Times New Roman" w:cs="Calibri"/>
                <w:sz w:val="20"/>
                <w:szCs w:val="20"/>
                <w:lang w:val="en-US"/>
              </w:rPr>
            </w:pPr>
            <w:r w:rsidRPr="005950B3">
              <w:rPr>
                <w:rFonts w:eastAsia="Times New Roman" w:cs="Calibri"/>
                <w:sz w:val="20"/>
                <w:szCs w:val="20"/>
                <w:lang w:val="en-US"/>
              </w:rPr>
              <w:t>Коеф. на бърза ликвидност  (12+13+14)/11</w:t>
            </w:r>
          </w:p>
        </w:tc>
        <w:tc>
          <w:tcPr>
            <w:tcW w:w="824" w:type="dxa"/>
            <w:tcBorders>
              <w:top w:val="nil"/>
              <w:left w:val="nil"/>
              <w:bottom w:val="double" w:sz="6" w:space="0" w:color="E26B0A"/>
              <w:right w:val="double" w:sz="6" w:space="0" w:color="E26B0A"/>
            </w:tcBorders>
            <w:shd w:val="clear" w:color="000000" w:fill="FABF8F"/>
            <w:noWrap/>
            <w:vAlign w:val="bottom"/>
            <w:hideMark/>
          </w:tcPr>
          <w:p w14:paraId="34213CD2"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1,8371</w:t>
            </w:r>
          </w:p>
        </w:tc>
        <w:tc>
          <w:tcPr>
            <w:tcW w:w="824" w:type="dxa"/>
            <w:tcBorders>
              <w:top w:val="nil"/>
              <w:left w:val="nil"/>
              <w:bottom w:val="double" w:sz="6" w:space="0" w:color="E26B0A"/>
              <w:right w:val="double" w:sz="6" w:space="0" w:color="E26B0A"/>
            </w:tcBorders>
            <w:shd w:val="clear" w:color="000000" w:fill="FABF8F"/>
            <w:noWrap/>
            <w:vAlign w:val="bottom"/>
            <w:hideMark/>
          </w:tcPr>
          <w:p w14:paraId="7A27217F"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0,5855</w:t>
            </w:r>
          </w:p>
        </w:tc>
        <w:tc>
          <w:tcPr>
            <w:tcW w:w="968" w:type="dxa"/>
            <w:tcBorders>
              <w:top w:val="nil"/>
              <w:left w:val="nil"/>
              <w:bottom w:val="double" w:sz="6" w:space="0" w:color="E26B0A"/>
              <w:right w:val="double" w:sz="6" w:space="0" w:color="E26B0A"/>
            </w:tcBorders>
            <w:shd w:val="clear" w:color="000000" w:fill="FABF8F"/>
            <w:noWrap/>
            <w:vAlign w:val="bottom"/>
            <w:hideMark/>
          </w:tcPr>
          <w:p w14:paraId="4A3D03D7"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1,2516</w:t>
            </w:r>
          </w:p>
        </w:tc>
        <w:tc>
          <w:tcPr>
            <w:tcW w:w="931" w:type="dxa"/>
            <w:tcBorders>
              <w:top w:val="nil"/>
              <w:left w:val="nil"/>
              <w:bottom w:val="double" w:sz="6" w:space="0" w:color="E26B0A"/>
              <w:right w:val="double" w:sz="6" w:space="0" w:color="E26B0A"/>
            </w:tcBorders>
            <w:shd w:val="clear" w:color="000000" w:fill="FABF8F"/>
            <w:noWrap/>
            <w:vAlign w:val="bottom"/>
            <w:hideMark/>
          </w:tcPr>
          <w:p w14:paraId="21C92EF1"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213,8%</w:t>
            </w:r>
          </w:p>
        </w:tc>
        <w:tc>
          <w:tcPr>
            <w:tcW w:w="222" w:type="dxa"/>
            <w:vAlign w:val="center"/>
            <w:hideMark/>
          </w:tcPr>
          <w:p w14:paraId="3E1A933E" w14:textId="77777777" w:rsidR="005950B3" w:rsidRPr="005950B3" w:rsidRDefault="005950B3" w:rsidP="005950B3">
            <w:pPr>
              <w:rPr>
                <w:rFonts w:ascii="Times New Roman" w:eastAsia="Times New Roman" w:hAnsi="Times New Roman"/>
                <w:sz w:val="20"/>
                <w:szCs w:val="20"/>
                <w:lang w:val="en-US"/>
              </w:rPr>
            </w:pPr>
          </w:p>
        </w:tc>
      </w:tr>
      <w:tr w:rsidR="005950B3" w:rsidRPr="005950B3" w14:paraId="218D1F42" w14:textId="77777777" w:rsidTr="005950B3">
        <w:trPr>
          <w:trHeight w:val="300"/>
        </w:trPr>
        <w:tc>
          <w:tcPr>
            <w:tcW w:w="706" w:type="dxa"/>
            <w:tcBorders>
              <w:top w:val="nil"/>
              <w:left w:val="double" w:sz="6" w:space="0" w:color="E26B0A"/>
              <w:bottom w:val="double" w:sz="6" w:space="0" w:color="E26B0A"/>
              <w:right w:val="double" w:sz="6" w:space="0" w:color="E26B0A"/>
            </w:tcBorders>
            <w:shd w:val="clear" w:color="auto" w:fill="auto"/>
            <w:noWrap/>
            <w:vAlign w:val="bottom"/>
            <w:hideMark/>
          </w:tcPr>
          <w:p w14:paraId="4667288C" w14:textId="77777777" w:rsidR="005950B3" w:rsidRPr="005950B3" w:rsidRDefault="005950B3" w:rsidP="005950B3">
            <w:pPr>
              <w:jc w:val="center"/>
              <w:rPr>
                <w:rFonts w:eastAsia="Times New Roman" w:cs="Calibri"/>
                <w:sz w:val="20"/>
                <w:szCs w:val="20"/>
                <w:lang w:val="en-US"/>
              </w:rPr>
            </w:pPr>
            <w:r w:rsidRPr="005950B3">
              <w:rPr>
                <w:rFonts w:eastAsia="Times New Roman" w:cs="Calibri"/>
                <w:sz w:val="20"/>
                <w:szCs w:val="20"/>
                <w:lang w:val="en-US"/>
              </w:rPr>
              <w:t>25</w:t>
            </w:r>
          </w:p>
        </w:tc>
        <w:tc>
          <w:tcPr>
            <w:tcW w:w="5449" w:type="dxa"/>
            <w:tcBorders>
              <w:top w:val="nil"/>
              <w:left w:val="nil"/>
              <w:bottom w:val="double" w:sz="6" w:space="0" w:color="E26B0A"/>
              <w:right w:val="double" w:sz="6" w:space="0" w:color="E26B0A"/>
            </w:tcBorders>
            <w:shd w:val="clear" w:color="auto" w:fill="auto"/>
            <w:noWrap/>
            <w:vAlign w:val="bottom"/>
            <w:hideMark/>
          </w:tcPr>
          <w:p w14:paraId="7E8B67C9" w14:textId="77777777" w:rsidR="005950B3" w:rsidRPr="005950B3" w:rsidRDefault="005950B3" w:rsidP="005950B3">
            <w:pPr>
              <w:rPr>
                <w:rFonts w:eastAsia="Times New Roman" w:cs="Calibri"/>
                <w:sz w:val="20"/>
                <w:szCs w:val="20"/>
                <w:lang w:val="en-US"/>
              </w:rPr>
            </w:pPr>
            <w:r w:rsidRPr="005950B3">
              <w:rPr>
                <w:rFonts w:eastAsia="Times New Roman" w:cs="Calibri"/>
                <w:sz w:val="20"/>
                <w:szCs w:val="20"/>
                <w:lang w:val="en-US"/>
              </w:rPr>
              <w:t>Коеф. на незабавна ликвидност (13+14)/11</w:t>
            </w:r>
          </w:p>
        </w:tc>
        <w:tc>
          <w:tcPr>
            <w:tcW w:w="824" w:type="dxa"/>
            <w:tcBorders>
              <w:top w:val="nil"/>
              <w:left w:val="nil"/>
              <w:bottom w:val="double" w:sz="6" w:space="0" w:color="E26B0A"/>
              <w:right w:val="double" w:sz="6" w:space="0" w:color="E26B0A"/>
            </w:tcBorders>
            <w:shd w:val="clear" w:color="000000" w:fill="FABF8F"/>
            <w:noWrap/>
            <w:vAlign w:val="bottom"/>
            <w:hideMark/>
          </w:tcPr>
          <w:p w14:paraId="45197D8F"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1,1267</w:t>
            </w:r>
          </w:p>
        </w:tc>
        <w:tc>
          <w:tcPr>
            <w:tcW w:w="824" w:type="dxa"/>
            <w:tcBorders>
              <w:top w:val="nil"/>
              <w:left w:val="nil"/>
              <w:bottom w:val="double" w:sz="6" w:space="0" w:color="E26B0A"/>
              <w:right w:val="double" w:sz="6" w:space="0" w:color="E26B0A"/>
            </w:tcBorders>
            <w:shd w:val="clear" w:color="000000" w:fill="FABF8F"/>
            <w:noWrap/>
            <w:vAlign w:val="bottom"/>
            <w:hideMark/>
          </w:tcPr>
          <w:p w14:paraId="7DF2B462"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0,3761</w:t>
            </w:r>
          </w:p>
        </w:tc>
        <w:tc>
          <w:tcPr>
            <w:tcW w:w="968" w:type="dxa"/>
            <w:tcBorders>
              <w:top w:val="nil"/>
              <w:left w:val="nil"/>
              <w:bottom w:val="double" w:sz="6" w:space="0" w:color="E26B0A"/>
              <w:right w:val="double" w:sz="6" w:space="0" w:color="E26B0A"/>
            </w:tcBorders>
            <w:shd w:val="clear" w:color="000000" w:fill="FABF8F"/>
            <w:noWrap/>
            <w:vAlign w:val="bottom"/>
            <w:hideMark/>
          </w:tcPr>
          <w:p w14:paraId="62FF00D8"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0,7506</w:t>
            </w:r>
          </w:p>
        </w:tc>
        <w:tc>
          <w:tcPr>
            <w:tcW w:w="931" w:type="dxa"/>
            <w:tcBorders>
              <w:top w:val="nil"/>
              <w:left w:val="nil"/>
              <w:bottom w:val="double" w:sz="6" w:space="0" w:color="E26B0A"/>
              <w:right w:val="double" w:sz="6" w:space="0" w:color="E26B0A"/>
            </w:tcBorders>
            <w:shd w:val="clear" w:color="000000" w:fill="FABF8F"/>
            <w:noWrap/>
            <w:vAlign w:val="bottom"/>
            <w:hideMark/>
          </w:tcPr>
          <w:p w14:paraId="6BD05860"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199,6%</w:t>
            </w:r>
          </w:p>
        </w:tc>
        <w:tc>
          <w:tcPr>
            <w:tcW w:w="222" w:type="dxa"/>
            <w:vAlign w:val="center"/>
            <w:hideMark/>
          </w:tcPr>
          <w:p w14:paraId="32DB4905" w14:textId="77777777" w:rsidR="005950B3" w:rsidRPr="005950B3" w:rsidRDefault="005950B3" w:rsidP="005950B3">
            <w:pPr>
              <w:rPr>
                <w:rFonts w:ascii="Times New Roman" w:eastAsia="Times New Roman" w:hAnsi="Times New Roman"/>
                <w:sz w:val="20"/>
                <w:szCs w:val="20"/>
                <w:lang w:val="en-US"/>
              </w:rPr>
            </w:pPr>
          </w:p>
        </w:tc>
      </w:tr>
      <w:tr w:rsidR="005950B3" w:rsidRPr="005950B3" w14:paraId="60444AAA" w14:textId="77777777" w:rsidTr="005950B3">
        <w:trPr>
          <w:trHeight w:val="300"/>
        </w:trPr>
        <w:tc>
          <w:tcPr>
            <w:tcW w:w="706" w:type="dxa"/>
            <w:tcBorders>
              <w:top w:val="nil"/>
              <w:left w:val="double" w:sz="6" w:space="0" w:color="E26B0A"/>
              <w:bottom w:val="double" w:sz="6" w:space="0" w:color="E26B0A"/>
              <w:right w:val="double" w:sz="6" w:space="0" w:color="E26B0A"/>
            </w:tcBorders>
            <w:shd w:val="clear" w:color="auto" w:fill="auto"/>
            <w:noWrap/>
            <w:vAlign w:val="bottom"/>
            <w:hideMark/>
          </w:tcPr>
          <w:p w14:paraId="3DF4E3AB" w14:textId="77777777" w:rsidR="005950B3" w:rsidRPr="005950B3" w:rsidRDefault="005950B3" w:rsidP="005950B3">
            <w:pPr>
              <w:jc w:val="center"/>
              <w:rPr>
                <w:rFonts w:eastAsia="Times New Roman" w:cs="Calibri"/>
                <w:sz w:val="20"/>
                <w:szCs w:val="20"/>
                <w:lang w:val="en-US"/>
              </w:rPr>
            </w:pPr>
            <w:r w:rsidRPr="005950B3">
              <w:rPr>
                <w:rFonts w:eastAsia="Times New Roman" w:cs="Calibri"/>
                <w:sz w:val="20"/>
                <w:szCs w:val="20"/>
                <w:lang w:val="en-US"/>
              </w:rPr>
              <w:t>26</w:t>
            </w:r>
          </w:p>
        </w:tc>
        <w:tc>
          <w:tcPr>
            <w:tcW w:w="5449" w:type="dxa"/>
            <w:tcBorders>
              <w:top w:val="nil"/>
              <w:left w:val="nil"/>
              <w:bottom w:val="double" w:sz="6" w:space="0" w:color="E26B0A"/>
              <w:right w:val="double" w:sz="6" w:space="0" w:color="E26B0A"/>
            </w:tcBorders>
            <w:shd w:val="clear" w:color="auto" w:fill="auto"/>
            <w:noWrap/>
            <w:vAlign w:val="bottom"/>
            <w:hideMark/>
          </w:tcPr>
          <w:p w14:paraId="76CEF5E7" w14:textId="77777777" w:rsidR="005950B3" w:rsidRPr="005950B3" w:rsidRDefault="005950B3" w:rsidP="005950B3">
            <w:pPr>
              <w:rPr>
                <w:rFonts w:eastAsia="Times New Roman" w:cs="Calibri"/>
                <w:sz w:val="20"/>
                <w:szCs w:val="20"/>
                <w:lang w:val="en-US"/>
              </w:rPr>
            </w:pPr>
            <w:r w:rsidRPr="005950B3">
              <w:rPr>
                <w:rFonts w:eastAsia="Times New Roman" w:cs="Calibri"/>
                <w:sz w:val="20"/>
                <w:szCs w:val="20"/>
                <w:lang w:val="en-US"/>
              </w:rPr>
              <w:t>Коеф. на абсолютна ликвидност (14/11)</w:t>
            </w:r>
          </w:p>
        </w:tc>
        <w:tc>
          <w:tcPr>
            <w:tcW w:w="824" w:type="dxa"/>
            <w:tcBorders>
              <w:top w:val="nil"/>
              <w:left w:val="nil"/>
              <w:bottom w:val="double" w:sz="6" w:space="0" w:color="E26B0A"/>
              <w:right w:val="double" w:sz="6" w:space="0" w:color="E26B0A"/>
            </w:tcBorders>
            <w:shd w:val="clear" w:color="000000" w:fill="FABF8F"/>
            <w:noWrap/>
            <w:vAlign w:val="bottom"/>
            <w:hideMark/>
          </w:tcPr>
          <w:p w14:paraId="7CBC9680"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1,1267</w:t>
            </w:r>
          </w:p>
        </w:tc>
        <w:tc>
          <w:tcPr>
            <w:tcW w:w="824" w:type="dxa"/>
            <w:tcBorders>
              <w:top w:val="nil"/>
              <w:left w:val="nil"/>
              <w:bottom w:val="double" w:sz="6" w:space="0" w:color="E26B0A"/>
              <w:right w:val="double" w:sz="6" w:space="0" w:color="E26B0A"/>
            </w:tcBorders>
            <w:shd w:val="clear" w:color="000000" w:fill="FABF8F"/>
            <w:noWrap/>
            <w:vAlign w:val="bottom"/>
            <w:hideMark/>
          </w:tcPr>
          <w:p w14:paraId="69E6A8CE"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0,3761</w:t>
            </w:r>
          </w:p>
        </w:tc>
        <w:tc>
          <w:tcPr>
            <w:tcW w:w="968" w:type="dxa"/>
            <w:tcBorders>
              <w:top w:val="nil"/>
              <w:left w:val="nil"/>
              <w:bottom w:val="double" w:sz="6" w:space="0" w:color="E26B0A"/>
              <w:right w:val="double" w:sz="6" w:space="0" w:color="E26B0A"/>
            </w:tcBorders>
            <w:shd w:val="clear" w:color="000000" w:fill="FABF8F"/>
            <w:noWrap/>
            <w:vAlign w:val="bottom"/>
            <w:hideMark/>
          </w:tcPr>
          <w:p w14:paraId="50E6CDDD"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0,7506</w:t>
            </w:r>
          </w:p>
        </w:tc>
        <w:tc>
          <w:tcPr>
            <w:tcW w:w="931" w:type="dxa"/>
            <w:tcBorders>
              <w:top w:val="nil"/>
              <w:left w:val="nil"/>
              <w:bottom w:val="double" w:sz="6" w:space="0" w:color="E26B0A"/>
              <w:right w:val="double" w:sz="6" w:space="0" w:color="E26B0A"/>
            </w:tcBorders>
            <w:shd w:val="clear" w:color="000000" w:fill="FABF8F"/>
            <w:noWrap/>
            <w:vAlign w:val="bottom"/>
            <w:hideMark/>
          </w:tcPr>
          <w:p w14:paraId="417467C2"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199,6%</w:t>
            </w:r>
          </w:p>
        </w:tc>
        <w:tc>
          <w:tcPr>
            <w:tcW w:w="222" w:type="dxa"/>
            <w:vAlign w:val="center"/>
            <w:hideMark/>
          </w:tcPr>
          <w:p w14:paraId="29BD5A77" w14:textId="77777777" w:rsidR="005950B3" w:rsidRPr="005950B3" w:rsidRDefault="005950B3" w:rsidP="005950B3">
            <w:pPr>
              <w:rPr>
                <w:rFonts w:ascii="Times New Roman" w:eastAsia="Times New Roman" w:hAnsi="Times New Roman"/>
                <w:sz w:val="20"/>
                <w:szCs w:val="20"/>
                <w:lang w:val="en-US"/>
              </w:rPr>
            </w:pPr>
          </w:p>
        </w:tc>
      </w:tr>
      <w:tr w:rsidR="005950B3" w:rsidRPr="005950B3" w14:paraId="230D8454" w14:textId="77777777" w:rsidTr="005950B3">
        <w:trPr>
          <w:trHeight w:val="300"/>
        </w:trPr>
        <w:tc>
          <w:tcPr>
            <w:tcW w:w="9702" w:type="dxa"/>
            <w:gridSpan w:val="6"/>
            <w:tcBorders>
              <w:top w:val="double" w:sz="6" w:space="0" w:color="E26B0A"/>
              <w:left w:val="double" w:sz="6" w:space="0" w:color="E26B0A"/>
              <w:bottom w:val="double" w:sz="6" w:space="0" w:color="E26B0A"/>
              <w:right w:val="double" w:sz="6" w:space="0" w:color="E26B0A"/>
            </w:tcBorders>
            <w:shd w:val="clear" w:color="000000" w:fill="E26B0A"/>
            <w:noWrap/>
            <w:vAlign w:val="bottom"/>
            <w:hideMark/>
          </w:tcPr>
          <w:p w14:paraId="36F147E1" w14:textId="77777777" w:rsidR="005950B3" w:rsidRPr="005950B3" w:rsidRDefault="005950B3" w:rsidP="005950B3">
            <w:pPr>
              <w:jc w:val="center"/>
              <w:rPr>
                <w:rFonts w:eastAsia="Times New Roman" w:cs="Calibri"/>
                <w:b/>
                <w:bCs/>
                <w:color w:val="FFFFFF"/>
                <w:sz w:val="20"/>
                <w:szCs w:val="20"/>
                <w:lang w:val="en-US"/>
              </w:rPr>
            </w:pPr>
            <w:r w:rsidRPr="005950B3">
              <w:rPr>
                <w:rFonts w:eastAsia="Times New Roman" w:cs="Calibri"/>
                <w:b/>
                <w:bCs/>
                <w:color w:val="FFFFFF"/>
                <w:sz w:val="20"/>
                <w:szCs w:val="20"/>
                <w:lang w:val="en-US"/>
              </w:rPr>
              <w:t>Финансова автономност:</w:t>
            </w:r>
          </w:p>
        </w:tc>
        <w:tc>
          <w:tcPr>
            <w:tcW w:w="222" w:type="dxa"/>
            <w:vAlign w:val="center"/>
            <w:hideMark/>
          </w:tcPr>
          <w:p w14:paraId="615F60B2" w14:textId="77777777" w:rsidR="005950B3" w:rsidRPr="005950B3" w:rsidRDefault="005950B3" w:rsidP="005950B3">
            <w:pPr>
              <w:rPr>
                <w:rFonts w:ascii="Times New Roman" w:eastAsia="Times New Roman" w:hAnsi="Times New Roman"/>
                <w:sz w:val="20"/>
                <w:szCs w:val="20"/>
                <w:lang w:val="en-US"/>
              </w:rPr>
            </w:pPr>
          </w:p>
        </w:tc>
      </w:tr>
      <w:tr w:rsidR="005950B3" w:rsidRPr="005950B3" w14:paraId="6A3B5716" w14:textId="77777777" w:rsidTr="005950B3">
        <w:trPr>
          <w:trHeight w:val="300"/>
        </w:trPr>
        <w:tc>
          <w:tcPr>
            <w:tcW w:w="706" w:type="dxa"/>
            <w:tcBorders>
              <w:top w:val="nil"/>
              <w:left w:val="double" w:sz="6" w:space="0" w:color="E26B0A"/>
              <w:bottom w:val="double" w:sz="6" w:space="0" w:color="E26B0A"/>
              <w:right w:val="double" w:sz="6" w:space="0" w:color="E26B0A"/>
            </w:tcBorders>
            <w:shd w:val="clear" w:color="auto" w:fill="auto"/>
            <w:noWrap/>
            <w:vAlign w:val="bottom"/>
            <w:hideMark/>
          </w:tcPr>
          <w:p w14:paraId="589A4110" w14:textId="77777777" w:rsidR="005950B3" w:rsidRPr="005950B3" w:rsidRDefault="005950B3" w:rsidP="005950B3">
            <w:pPr>
              <w:jc w:val="center"/>
              <w:rPr>
                <w:rFonts w:eastAsia="Times New Roman" w:cs="Calibri"/>
                <w:sz w:val="20"/>
                <w:szCs w:val="20"/>
                <w:lang w:val="en-US"/>
              </w:rPr>
            </w:pPr>
            <w:r w:rsidRPr="005950B3">
              <w:rPr>
                <w:rFonts w:eastAsia="Times New Roman" w:cs="Calibri"/>
                <w:sz w:val="20"/>
                <w:szCs w:val="20"/>
                <w:lang w:val="en-US"/>
              </w:rPr>
              <w:t>27</w:t>
            </w:r>
          </w:p>
        </w:tc>
        <w:tc>
          <w:tcPr>
            <w:tcW w:w="5449" w:type="dxa"/>
            <w:tcBorders>
              <w:top w:val="nil"/>
              <w:left w:val="nil"/>
              <w:bottom w:val="double" w:sz="6" w:space="0" w:color="E26B0A"/>
              <w:right w:val="double" w:sz="6" w:space="0" w:color="E26B0A"/>
            </w:tcBorders>
            <w:shd w:val="clear" w:color="auto" w:fill="auto"/>
            <w:noWrap/>
            <w:vAlign w:val="bottom"/>
            <w:hideMark/>
          </w:tcPr>
          <w:p w14:paraId="30BEE5A5" w14:textId="77777777" w:rsidR="005950B3" w:rsidRPr="005950B3" w:rsidRDefault="005950B3" w:rsidP="005950B3">
            <w:pPr>
              <w:rPr>
                <w:rFonts w:eastAsia="Times New Roman" w:cs="Calibri"/>
                <w:sz w:val="20"/>
                <w:szCs w:val="20"/>
                <w:lang w:val="en-US"/>
              </w:rPr>
            </w:pPr>
            <w:r w:rsidRPr="005950B3">
              <w:rPr>
                <w:rFonts w:eastAsia="Times New Roman" w:cs="Calibri"/>
                <w:sz w:val="20"/>
                <w:szCs w:val="20"/>
                <w:lang w:val="en-US"/>
              </w:rPr>
              <w:t>Коеф. на финансова автономност (7/8)</w:t>
            </w:r>
          </w:p>
        </w:tc>
        <w:tc>
          <w:tcPr>
            <w:tcW w:w="824" w:type="dxa"/>
            <w:tcBorders>
              <w:top w:val="nil"/>
              <w:left w:val="nil"/>
              <w:bottom w:val="double" w:sz="6" w:space="0" w:color="E26B0A"/>
              <w:right w:val="double" w:sz="6" w:space="0" w:color="E26B0A"/>
            </w:tcBorders>
            <w:shd w:val="clear" w:color="000000" w:fill="FABF8F"/>
            <w:noWrap/>
            <w:vAlign w:val="bottom"/>
            <w:hideMark/>
          </w:tcPr>
          <w:p w14:paraId="267CB4D3"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0,5672</w:t>
            </w:r>
          </w:p>
        </w:tc>
        <w:tc>
          <w:tcPr>
            <w:tcW w:w="824" w:type="dxa"/>
            <w:tcBorders>
              <w:top w:val="nil"/>
              <w:left w:val="nil"/>
              <w:bottom w:val="double" w:sz="6" w:space="0" w:color="E26B0A"/>
              <w:right w:val="double" w:sz="6" w:space="0" w:color="E26B0A"/>
            </w:tcBorders>
            <w:shd w:val="clear" w:color="000000" w:fill="FABF8F"/>
            <w:noWrap/>
            <w:vAlign w:val="bottom"/>
            <w:hideMark/>
          </w:tcPr>
          <w:p w14:paraId="1931B9E1"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0,2570</w:t>
            </w:r>
          </w:p>
        </w:tc>
        <w:tc>
          <w:tcPr>
            <w:tcW w:w="968" w:type="dxa"/>
            <w:tcBorders>
              <w:top w:val="nil"/>
              <w:left w:val="nil"/>
              <w:bottom w:val="double" w:sz="6" w:space="0" w:color="E26B0A"/>
              <w:right w:val="double" w:sz="6" w:space="0" w:color="E26B0A"/>
            </w:tcBorders>
            <w:shd w:val="clear" w:color="000000" w:fill="FABF8F"/>
            <w:noWrap/>
            <w:vAlign w:val="bottom"/>
            <w:hideMark/>
          </w:tcPr>
          <w:p w14:paraId="23B49B32"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0,3102</w:t>
            </w:r>
          </w:p>
        </w:tc>
        <w:tc>
          <w:tcPr>
            <w:tcW w:w="931" w:type="dxa"/>
            <w:tcBorders>
              <w:top w:val="nil"/>
              <w:left w:val="nil"/>
              <w:bottom w:val="double" w:sz="6" w:space="0" w:color="E26B0A"/>
              <w:right w:val="double" w:sz="6" w:space="0" w:color="E26B0A"/>
            </w:tcBorders>
            <w:shd w:val="clear" w:color="000000" w:fill="FABF8F"/>
            <w:noWrap/>
            <w:vAlign w:val="bottom"/>
            <w:hideMark/>
          </w:tcPr>
          <w:p w14:paraId="62B29851"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120,7%</w:t>
            </w:r>
          </w:p>
        </w:tc>
        <w:tc>
          <w:tcPr>
            <w:tcW w:w="222" w:type="dxa"/>
            <w:vAlign w:val="center"/>
            <w:hideMark/>
          </w:tcPr>
          <w:p w14:paraId="788A3C61" w14:textId="77777777" w:rsidR="005950B3" w:rsidRPr="005950B3" w:rsidRDefault="005950B3" w:rsidP="005950B3">
            <w:pPr>
              <w:rPr>
                <w:rFonts w:ascii="Times New Roman" w:eastAsia="Times New Roman" w:hAnsi="Times New Roman"/>
                <w:sz w:val="20"/>
                <w:szCs w:val="20"/>
                <w:lang w:val="en-US"/>
              </w:rPr>
            </w:pPr>
          </w:p>
        </w:tc>
      </w:tr>
      <w:tr w:rsidR="005950B3" w:rsidRPr="005950B3" w14:paraId="1729AB2A" w14:textId="77777777" w:rsidTr="005950B3">
        <w:trPr>
          <w:trHeight w:val="300"/>
        </w:trPr>
        <w:tc>
          <w:tcPr>
            <w:tcW w:w="706" w:type="dxa"/>
            <w:tcBorders>
              <w:top w:val="nil"/>
              <w:left w:val="double" w:sz="6" w:space="0" w:color="E26B0A"/>
              <w:bottom w:val="double" w:sz="6" w:space="0" w:color="E26B0A"/>
              <w:right w:val="double" w:sz="6" w:space="0" w:color="E26B0A"/>
            </w:tcBorders>
            <w:shd w:val="clear" w:color="auto" w:fill="auto"/>
            <w:noWrap/>
            <w:vAlign w:val="bottom"/>
            <w:hideMark/>
          </w:tcPr>
          <w:p w14:paraId="0188DEF5" w14:textId="77777777" w:rsidR="005950B3" w:rsidRPr="005950B3" w:rsidRDefault="005950B3" w:rsidP="005950B3">
            <w:pPr>
              <w:jc w:val="center"/>
              <w:rPr>
                <w:rFonts w:eastAsia="Times New Roman" w:cs="Calibri"/>
                <w:sz w:val="20"/>
                <w:szCs w:val="20"/>
                <w:lang w:val="en-US"/>
              </w:rPr>
            </w:pPr>
            <w:r w:rsidRPr="005950B3">
              <w:rPr>
                <w:rFonts w:eastAsia="Times New Roman" w:cs="Calibri"/>
                <w:sz w:val="20"/>
                <w:szCs w:val="20"/>
                <w:lang w:val="en-US"/>
              </w:rPr>
              <w:t>28</w:t>
            </w:r>
          </w:p>
        </w:tc>
        <w:tc>
          <w:tcPr>
            <w:tcW w:w="5449" w:type="dxa"/>
            <w:tcBorders>
              <w:top w:val="nil"/>
              <w:left w:val="nil"/>
              <w:bottom w:val="double" w:sz="6" w:space="0" w:color="E26B0A"/>
              <w:right w:val="double" w:sz="6" w:space="0" w:color="E26B0A"/>
            </w:tcBorders>
            <w:shd w:val="clear" w:color="auto" w:fill="auto"/>
            <w:noWrap/>
            <w:vAlign w:val="bottom"/>
            <w:hideMark/>
          </w:tcPr>
          <w:p w14:paraId="7ADE090F" w14:textId="77777777" w:rsidR="005950B3" w:rsidRPr="005950B3" w:rsidRDefault="005950B3" w:rsidP="005950B3">
            <w:pPr>
              <w:rPr>
                <w:rFonts w:eastAsia="Times New Roman" w:cs="Calibri"/>
                <w:sz w:val="20"/>
                <w:szCs w:val="20"/>
                <w:lang w:val="en-US"/>
              </w:rPr>
            </w:pPr>
            <w:r w:rsidRPr="005950B3">
              <w:rPr>
                <w:rFonts w:eastAsia="Times New Roman" w:cs="Calibri"/>
                <w:sz w:val="20"/>
                <w:szCs w:val="20"/>
                <w:lang w:val="en-US"/>
              </w:rPr>
              <w:t>Коеф. на платежоспособност (9/8)</w:t>
            </w:r>
          </w:p>
        </w:tc>
        <w:tc>
          <w:tcPr>
            <w:tcW w:w="824" w:type="dxa"/>
            <w:tcBorders>
              <w:top w:val="nil"/>
              <w:left w:val="nil"/>
              <w:bottom w:val="double" w:sz="6" w:space="0" w:color="E26B0A"/>
              <w:right w:val="double" w:sz="6" w:space="0" w:color="E26B0A"/>
            </w:tcBorders>
            <w:shd w:val="clear" w:color="000000" w:fill="FABF8F"/>
            <w:noWrap/>
            <w:vAlign w:val="bottom"/>
            <w:hideMark/>
          </w:tcPr>
          <w:p w14:paraId="330E7D29"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1,5672</w:t>
            </w:r>
          </w:p>
        </w:tc>
        <w:tc>
          <w:tcPr>
            <w:tcW w:w="824" w:type="dxa"/>
            <w:tcBorders>
              <w:top w:val="nil"/>
              <w:left w:val="nil"/>
              <w:bottom w:val="double" w:sz="6" w:space="0" w:color="E26B0A"/>
              <w:right w:val="double" w:sz="6" w:space="0" w:color="E26B0A"/>
            </w:tcBorders>
            <w:shd w:val="clear" w:color="000000" w:fill="FABF8F"/>
            <w:noWrap/>
            <w:vAlign w:val="bottom"/>
            <w:hideMark/>
          </w:tcPr>
          <w:p w14:paraId="4DE464E3"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1,2570</w:t>
            </w:r>
          </w:p>
        </w:tc>
        <w:tc>
          <w:tcPr>
            <w:tcW w:w="968" w:type="dxa"/>
            <w:tcBorders>
              <w:top w:val="nil"/>
              <w:left w:val="nil"/>
              <w:bottom w:val="double" w:sz="6" w:space="0" w:color="E26B0A"/>
              <w:right w:val="double" w:sz="6" w:space="0" w:color="E26B0A"/>
            </w:tcBorders>
            <w:shd w:val="clear" w:color="000000" w:fill="FABF8F"/>
            <w:noWrap/>
            <w:vAlign w:val="bottom"/>
            <w:hideMark/>
          </w:tcPr>
          <w:p w14:paraId="4DFF2DE2"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0,3102</w:t>
            </w:r>
          </w:p>
        </w:tc>
        <w:tc>
          <w:tcPr>
            <w:tcW w:w="931" w:type="dxa"/>
            <w:tcBorders>
              <w:top w:val="nil"/>
              <w:left w:val="nil"/>
              <w:bottom w:val="double" w:sz="6" w:space="0" w:color="E26B0A"/>
              <w:right w:val="double" w:sz="6" w:space="0" w:color="E26B0A"/>
            </w:tcBorders>
            <w:shd w:val="clear" w:color="000000" w:fill="FABF8F"/>
            <w:noWrap/>
            <w:vAlign w:val="bottom"/>
            <w:hideMark/>
          </w:tcPr>
          <w:p w14:paraId="519013A3" w14:textId="77777777" w:rsidR="005950B3" w:rsidRPr="005950B3" w:rsidRDefault="005950B3" w:rsidP="005950B3">
            <w:pPr>
              <w:jc w:val="right"/>
              <w:rPr>
                <w:rFonts w:eastAsia="Times New Roman" w:cs="Calibri"/>
                <w:sz w:val="20"/>
                <w:szCs w:val="20"/>
                <w:lang w:val="en-US"/>
              </w:rPr>
            </w:pPr>
            <w:r w:rsidRPr="005950B3">
              <w:rPr>
                <w:rFonts w:eastAsia="Times New Roman" w:cs="Calibri"/>
                <w:sz w:val="20"/>
                <w:szCs w:val="20"/>
                <w:lang w:val="en-US"/>
              </w:rPr>
              <w:t>24,7%</w:t>
            </w:r>
          </w:p>
        </w:tc>
        <w:tc>
          <w:tcPr>
            <w:tcW w:w="222" w:type="dxa"/>
            <w:vAlign w:val="center"/>
            <w:hideMark/>
          </w:tcPr>
          <w:p w14:paraId="1F4E3A92" w14:textId="77777777" w:rsidR="005950B3" w:rsidRPr="005950B3" w:rsidRDefault="005950B3" w:rsidP="005950B3">
            <w:pPr>
              <w:rPr>
                <w:rFonts w:ascii="Times New Roman" w:eastAsia="Times New Roman" w:hAnsi="Times New Roman"/>
                <w:sz w:val="20"/>
                <w:szCs w:val="20"/>
                <w:lang w:val="en-US"/>
              </w:rPr>
            </w:pPr>
          </w:p>
        </w:tc>
      </w:tr>
    </w:tbl>
    <w:p w14:paraId="1F6CE784" w14:textId="71894A3E" w:rsidR="005115DF" w:rsidRDefault="005950B3" w:rsidP="008D397F">
      <w:pPr>
        <w:jc w:val="both"/>
      </w:pPr>
      <w:r>
        <w:rPr>
          <w:noProof/>
          <w:lang w:eastAsia="bg-BG"/>
        </w:rPr>
        <w:drawing>
          <wp:inline distT="0" distB="0" distL="0" distR="0" wp14:anchorId="48BF387C" wp14:editId="6AE6D6FE">
            <wp:extent cx="5052060" cy="2987040"/>
            <wp:effectExtent l="57150" t="19050" r="53340" b="99060"/>
            <wp:docPr id="9" name="Chart 9">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5D91BDB-FE8F-4845-AE7B-1E92ED0B9DC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404FFBE" w14:textId="498C1D2D" w:rsidR="005950B3" w:rsidRDefault="005950B3" w:rsidP="008D397F">
      <w:pPr>
        <w:jc w:val="both"/>
      </w:pPr>
      <w:r>
        <w:rPr>
          <w:noProof/>
          <w:lang w:eastAsia="bg-BG"/>
        </w:rPr>
        <w:lastRenderedPageBreak/>
        <w:drawing>
          <wp:inline distT="0" distB="0" distL="0" distR="0" wp14:anchorId="2D3C9F86" wp14:editId="33086776">
            <wp:extent cx="5189220" cy="2990850"/>
            <wp:effectExtent l="57150" t="19050" r="49530" b="95250"/>
            <wp:docPr id="10" name="Chart 1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FF5AA57-F5AD-4A1B-833A-37BA37F03EC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F482C47" w14:textId="428E397F" w:rsidR="005950B3" w:rsidRDefault="005950B3" w:rsidP="008D397F">
      <w:pPr>
        <w:jc w:val="both"/>
      </w:pPr>
    </w:p>
    <w:p w14:paraId="65409C98" w14:textId="463D9735" w:rsidR="005950B3" w:rsidRDefault="005950B3" w:rsidP="008D397F">
      <w:pPr>
        <w:jc w:val="both"/>
      </w:pPr>
      <w:r>
        <w:rPr>
          <w:noProof/>
          <w:lang w:eastAsia="bg-BG"/>
        </w:rPr>
        <w:drawing>
          <wp:inline distT="0" distB="0" distL="0" distR="0" wp14:anchorId="09EB98D7" wp14:editId="2E5331BE">
            <wp:extent cx="5219700" cy="2834640"/>
            <wp:effectExtent l="57150" t="19050" r="57150" b="99060"/>
            <wp:docPr id="11" name="Chart 1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7EAB2A9-08D8-48C4-BE6B-1217DC4D1BE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4A2AFD5" w14:textId="09CDBE2E" w:rsidR="005950B3" w:rsidRDefault="005950B3" w:rsidP="008D397F">
      <w:pPr>
        <w:jc w:val="both"/>
      </w:pPr>
      <w:r>
        <w:rPr>
          <w:noProof/>
          <w:lang w:eastAsia="bg-BG"/>
        </w:rPr>
        <w:drawing>
          <wp:inline distT="0" distB="0" distL="0" distR="0" wp14:anchorId="020A671C" wp14:editId="2EE248E8">
            <wp:extent cx="5234940" cy="2701290"/>
            <wp:effectExtent l="57150" t="19050" r="60960" b="99060"/>
            <wp:docPr id="12" name="Chart 1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4DFD487-F701-47BF-B479-811B68F27AB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5847226D" w14:textId="0EE1464E" w:rsidR="005950B3" w:rsidRDefault="005950B3" w:rsidP="008D397F">
      <w:pPr>
        <w:jc w:val="both"/>
      </w:pPr>
      <w:r>
        <w:rPr>
          <w:noProof/>
          <w:lang w:eastAsia="bg-BG"/>
        </w:rPr>
        <w:lastRenderedPageBreak/>
        <w:drawing>
          <wp:inline distT="0" distB="0" distL="0" distR="0" wp14:anchorId="5C5BA49F" wp14:editId="42C74CD7">
            <wp:extent cx="5242560" cy="2918460"/>
            <wp:effectExtent l="57150" t="19050" r="53340" b="91440"/>
            <wp:docPr id="13" name="Chart 1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2E6F009-E786-4960-AB05-FAF0B4E1C12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425FD4EB" w14:textId="1F93D3C0" w:rsidR="005950B3" w:rsidRDefault="00C74984" w:rsidP="00C74984">
      <w:pPr>
        <w:tabs>
          <w:tab w:val="left" w:pos="1428"/>
        </w:tabs>
        <w:jc w:val="both"/>
      </w:pPr>
      <w:r>
        <w:tab/>
      </w:r>
      <w:r w:rsidR="005950B3">
        <w:rPr>
          <w:noProof/>
          <w:lang w:eastAsia="bg-BG"/>
        </w:rPr>
        <w:drawing>
          <wp:inline distT="0" distB="0" distL="0" distR="0" wp14:anchorId="41698A32" wp14:editId="08E76D45">
            <wp:extent cx="5212080" cy="3063240"/>
            <wp:effectExtent l="57150" t="19050" r="64770" b="99060"/>
            <wp:docPr id="14" name="Chart 1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13A7753C-ACD6-4D17-8A69-BDB2D89A2C6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38FB24CD" w14:textId="15BF90E3" w:rsidR="005115DF" w:rsidRDefault="005115DF" w:rsidP="008D397F">
      <w:pPr>
        <w:jc w:val="both"/>
      </w:pPr>
    </w:p>
    <w:p w14:paraId="46DD6723" w14:textId="77777777" w:rsidR="00D92723" w:rsidRDefault="00D92723" w:rsidP="001B0DDE">
      <w:pPr>
        <w:pStyle w:val="BodyText"/>
      </w:pPr>
    </w:p>
    <w:p w14:paraId="36CA71B9" w14:textId="77777777" w:rsidR="00D92723" w:rsidRDefault="00D92723" w:rsidP="001B0DDE">
      <w:pPr>
        <w:pStyle w:val="BodyText"/>
        <w:rPr>
          <w:noProof/>
          <w:lang w:eastAsia="bg-BG"/>
        </w:rPr>
      </w:pPr>
    </w:p>
    <w:p w14:paraId="0F798F0A" w14:textId="08C9E0FB" w:rsidR="00FB5904" w:rsidRDefault="007314E1" w:rsidP="00FB5904">
      <w:pPr>
        <w:tabs>
          <w:tab w:val="left" w:pos="180"/>
        </w:tabs>
        <w:ind w:left="180" w:right="114"/>
        <w:jc w:val="both"/>
      </w:pPr>
      <w:r>
        <w:rPr>
          <w:b/>
        </w:rPr>
        <w:t>С</w:t>
      </w:r>
      <w:r w:rsidR="00FB5904" w:rsidRPr="006623F6">
        <w:rPr>
          <w:b/>
        </w:rPr>
        <w:t>тойност</w:t>
      </w:r>
      <w:r>
        <w:rPr>
          <w:b/>
        </w:rPr>
        <w:t>та</w:t>
      </w:r>
      <w:r w:rsidR="00FB5904" w:rsidRPr="006623F6">
        <w:t xml:space="preserve"> на дружеството за </w:t>
      </w:r>
      <w:r w:rsidR="00487716">
        <w:t>2021</w:t>
      </w:r>
      <w:r w:rsidR="00FB5904">
        <w:t xml:space="preserve"> </w:t>
      </w:r>
      <w:r w:rsidR="00FB5904" w:rsidRPr="006623F6">
        <w:t xml:space="preserve">г. спрямо </w:t>
      </w:r>
      <w:r w:rsidR="00487716">
        <w:t>2020</w:t>
      </w:r>
      <w:r w:rsidR="00FB5904">
        <w:t xml:space="preserve"> г. е както следва</w:t>
      </w:r>
      <w:r w:rsidR="002738C6">
        <w:t>:</w:t>
      </w:r>
    </w:p>
    <w:p w14:paraId="43C8ACB0" w14:textId="4B9B1C27" w:rsidR="00A85C03" w:rsidRDefault="00A85C03" w:rsidP="00FB5904">
      <w:pPr>
        <w:tabs>
          <w:tab w:val="left" w:pos="180"/>
        </w:tabs>
        <w:ind w:left="180" w:right="114"/>
        <w:jc w:val="both"/>
      </w:pPr>
    </w:p>
    <w:tbl>
      <w:tblPr>
        <w:tblW w:w="7280" w:type="dxa"/>
        <w:tblLook w:val="04A0" w:firstRow="1" w:lastRow="0" w:firstColumn="1" w:lastColumn="0" w:noHBand="0" w:noVBand="1"/>
      </w:tblPr>
      <w:tblGrid>
        <w:gridCol w:w="5360"/>
        <w:gridCol w:w="960"/>
        <w:gridCol w:w="960"/>
      </w:tblGrid>
      <w:tr w:rsidR="005950B3" w:rsidRPr="00A85C03" w14:paraId="4BED696F" w14:textId="77777777" w:rsidTr="00A85C03">
        <w:trPr>
          <w:trHeight w:val="252"/>
        </w:trPr>
        <w:tc>
          <w:tcPr>
            <w:tcW w:w="5360" w:type="dxa"/>
            <w:tcBorders>
              <w:top w:val="nil"/>
              <w:left w:val="nil"/>
              <w:bottom w:val="nil"/>
              <w:right w:val="nil"/>
            </w:tcBorders>
            <w:shd w:val="clear" w:color="auto" w:fill="auto"/>
            <w:noWrap/>
            <w:vAlign w:val="bottom"/>
            <w:hideMark/>
          </w:tcPr>
          <w:p w14:paraId="338154AB" w14:textId="77777777" w:rsidR="005950B3" w:rsidRPr="00A85C03" w:rsidRDefault="005950B3" w:rsidP="005950B3">
            <w:pPr>
              <w:rPr>
                <w:rFonts w:ascii="Times New Roman" w:eastAsia="Times New Roman" w:hAnsi="Times New Roman"/>
                <w:sz w:val="20"/>
                <w:szCs w:val="20"/>
                <w:lang w:val="en-US"/>
              </w:rPr>
            </w:pPr>
          </w:p>
        </w:tc>
        <w:tc>
          <w:tcPr>
            <w:tcW w:w="960" w:type="dxa"/>
            <w:tcBorders>
              <w:top w:val="nil"/>
              <w:left w:val="nil"/>
              <w:bottom w:val="nil"/>
              <w:right w:val="nil"/>
            </w:tcBorders>
            <w:shd w:val="clear" w:color="auto" w:fill="auto"/>
            <w:noWrap/>
            <w:vAlign w:val="bottom"/>
            <w:hideMark/>
          </w:tcPr>
          <w:p w14:paraId="039A05E8" w14:textId="77777777" w:rsidR="005950B3" w:rsidRPr="00A85C03" w:rsidRDefault="005950B3" w:rsidP="005950B3">
            <w:pPr>
              <w:rPr>
                <w:rFonts w:ascii="Times New Roman" w:eastAsia="Times New Roman" w:hAnsi="Times New Roman"/>
                <w:sz w:val="20"/>
                <w:szCs w:val="20"/>
                <w:lang w:val="en-US"/>
              </w:rPr>
            </w:pPr>
          </w:p>
        </w:tc>
        <w:tc>
          <w:tcPr>
            <w:tcW w:w="960" w:type="dxa"/>
            <w:tcBorders>
              <w:top w:val="nil"/>
              <w:left w:val="nil"/>
              <w:bottom w:val="nil"/>
              <w:right w:val="nil"/>
            </w:tcBorders>
            <w:shd w:val="clear" w:color="auto" w:fill="auto"/>
            <w:noWrap/>
            <w:vAlign w:val="bottom"/>
            <w:hideMark/>
          </w:tcPr>
          <w:p w14:paraId="46E14A55" w14:textId="18C8EF07" w:rsidR="005950B3" w:rsidRPr="00A85C03" w:rsidRDefault="005950B3" w:rsidP="005950B3">
            <w:pPr>
              <w:jc w:val="right"/>
              <w:rPr>
                <w:rFonts w:eastAsia="Times New Roman" w:cs="Calibri"/>
                <w:i/>
                <w:iCs/>
                <w:sz w:val="18"/>
                <w:szCs w:val="18"/>
                <w:lang w:val="en-US"/>
              </w:rPr>
            </w:pPr>
            <w:r>
              <w:rPr>
                <w:rFonts w:cs="Calibri"/>
                <w:i/>
                <w:iCs/>
                <w:sz w:val="18"/>
                <w:szCs w:val="18"/>
              </w:rPr>
              <w:t>(лева)</w:t>
            </w:r>
          </w:p>
        </w:tc>
      </w:tr>
      <w:tr w:rsidR="005950B3" w:rsidRPr="00A85C03" w14:paraId="139D2584" w14:textId="77777777" w:rsidTr="00A85C03">
        <w:trPr>
          <w:trHeight w:val="300"/>
        </w:trPr>
        <w:tc>
          <w:tcPr>
            <w:tcW w:w="5360" w:type="dxa"/>
            <w:tcBorders>
              <w:top w:val="double" w:sz="6" w:space="0" w:color="E26B0A"/>
              <w:left w:val="double" w:sz="6" w:space="0" w:color="E26B0A"/>
              <w:bottom w:val="double" w:sz="6" w:space="0" w:color="E26B0A"/>
              <w:right w:val="double" w:sz="6" w:space="0" w:color="E26B0A"/>
            </w:tcBorders>
            <w:shd w:val="clear" w:color="000000" w:fill="E26B0A"/>
            <w:noWrap/>
            <w:vAlign w:val="bottom"/>
            <w:hideMark/>
          </w:tcPr>
          <w:p w14:paraId="6DF296E5" w14:textId="1C2151B1" w:rsidR="005950B3" w:rsidRPr="00A85C03" w:rsidRDefault="005950B3" w:rsidP="005950B3">
            <w:pPr>
              <w:rPr>
                <w:rFonts w:eastAsia="Times New Roman" w:cs="Calibri"/>
                <w:b/>
                <w:bCs/>
                <w:color w:val="FFFFFF"/>
                <w:sz w:val="20"/>
                <w:szCs w:val="20"/>
                <w:lang w:val="en-US"/>
              </w:rPr>
            </w:pPr>
            <w:r>
              <w:rPr>
                <w:rFonts w:cs="Calibri"/>
                <w:b/>
                <w:bCs/>
                <w:color w:val="FFFFFF"/>
                <w:sz w:val="20"/>
                <w:szCs w:val="20"/>
              </w:rPr>
              <w:t> </w:t>
            </w:r>
          </w:p>
        </w:tc>
        <w:tc>
          <w:tcPr>
            <w:tcW w:w="960" w:type="dxa"/>
            <w:tcBorders>
              <w:top w:val="double" w:sz="6" w:space="0" w:color="E26B0A"/>
              <w:left w:val="nil"/>
              <w:bottom w:val="double" w:sz="6" w:space="0" w:color="E26B0A"/>
              <w:right w:val="double" w:sz="6" w:space="0" w:color="E26B0A"/>
            </w:tcBorders>
            <w:shd w:val="clear" w:color="000000" w:fill="E26B0A"/>
            <w:noWrap/>
            <w:vAlign w:val="bottom"/>
            <w:hideMark/>
          </w:tcPr>
          <w:p w14:paraId="0E93CBA7" w14:textId="6D3CBF44" w:rsidR="005950B3" w:rsidRPr="00A85C03" w:rsidRDefault="005950B3" w:rsidP="005950B3">
            <w:pPr>
              <w:jc w:val="center"/>
              <w:rPr>
                <w:rFonts w:eastAsia="Times New Roman" w:cs="Calibri"/>
                <w:b/>
                <w:bCs/>
                <w:color w:val="FFFFFF"/>
                <w:sz w:val="20"/>
                <w:szCs w:val="20"/>
                <w:lang w:val="en-US"/>
              </w:rPr>
            </w:pPr>
            <w:r>
              <w:rPr>
                <w:rFonts w:cs="Calibri"/>
                <w:b/>
                <w:bCs/>
                <w:color w:val="FFFFFF"/>
                <w:sz w:val="20"/>
                <w:szCs w:val="20"/>
              </w:rPr>
              <w:t>2021</w:t>
            </w:r>
          </w:p>
        </w:tc>
        <w:tc>
          <w:tcPr>
            <w:tcW w:w="960" w:type="dxa"/>
            <w:tcBorders>
              <w:top w:val="double" w:sz="6" w:space="0" w:color="E26B0A"/>
              <w:left w:val="nil"/>
              <w:bottom w:val="double" w:sz="6" w:space="0" w:color="E26B0A"/>
              <w:right w:val="double" w:sz="6" w:space="0" w:color="E26B0A"/>
            </w:tcBorders>
            <w:shd w:val="clear" w:color="000000" w:fill="E26B0A"/>
            <w:noWrap/>
            <w:vAlign w:val="bottom"/>
            <w:hideMark/>
          </w:tcPr>
          <w:p w14:paraId="56F86DE7" w14:textId="01BEC50D" w:rsidR="005950B3" w:rsidRPr="00A85C03" w:rsidRDefault="005950B3" w:rsidP="005950B3">
            <w:pPr>
              <w:jc w:val="center"/>
              <w:rPr>
                <w:rFonts w:eastAsia="Times New Roman" w:cs="Calibri"/>
                <w:b/>
                <w:bCs/>
                <w:color w:val="FFFFFF"/>
                <w:sz w:val="20"/>
                <w:szCs w:val="20"/>
                <w:lang w:val="en-US"/>
              </w:rPr>
            </w:pPr>
            <w:r>
              <w:rPr>
                <w:rFonts w:cs="Calibri"/>
                <w:b/>
                <w:bCs/>
                <w:color w:val="FFFFFF"/>
                <w:sz w:val="20"/>
                <w:szCs w:val="20"/>
              </w:rPr>
              <w:t>2020</w:t>
            </w:r>
          </w:p>
        </w:tc>
      </w:tr>
      <w:tr w:rsidR="005950B3" w:rsidRPr="00A85C03" w14:paraId="2A96144B" w14:textId="77777777" w:rsidTr="00A85C03">
        <w:trPr>
          <w:trHeight w:val="300"/>
        </w:trPr>
        <w:tc>
          <w:tcPr>
            <w:tcW w:w="5360" w:type="dxa"/>
            <w:tcBorders>
              <w:top w:val="nil"/>
              <w:left w:val="double" w:sz="6" w:space="0" w:color="E26B0A"/>
              <w:bottom w:val="double" w:sz="6" w:space="0" w:color="E26B0A"/>
              <w:right w:val="double" w:sz="6" w:space="0" w:color="E26B0A"/>
            </w:tcBorders>
            <w:shd w:val="clear" w:color="000000" w:fill="FFFFFF"/>
            <w:vAlign w:val="center"/>
            <w:hideMark/>
          </w:tcPr>
          <w:p w14:paraId="0EB4F054" w14:textId="4C4A5C74" w:rsidR="005950B3" w:rsidRPr="00A85C03" w:rsidRDefault="005950B3" w:rsidP="005950B3">
            <w:pPr>
              <w:rPr>
                <w:rFonts w:eastAsia="Times New Roman" w:cs="Calibri"/>
                <w:b/>
                <w:bCs/>
                <w:sz w:val="20"/>
                <w:szCs w:val="20"/>
                <w:lang w:val="en-US"/>
              </w:rPr>
            </w:pPr>
            <w:r>
              <w:rPr>
                <w:rFonts w:cs="Calibri"/>
                <w:b/>
                <w:bCs/>
                <w:sz w:val="20"/>
                <w:szCs w:val="20"/>
              </w:rPr>
              <w:t>Стойност на 100% от собствения капитал</w:t>
            </w:r>
          </w:p>
        </w:tc>
        <w:tc>
          <w:tcPr>
            <w:tcW w:w="960" w:type="dxa"/>
            <w:tcBorders>
              <w:top w:val="nil"/>
              <w:left w:val="nil"/>
              <w:bottom w:val="double" w:sz="6" w:space="0" w:color="E26B0A"/>
              <w:right w:val="double" w:sz="6" w:space="0" w:color="E26B0A"/>
            </w:tcBorders>
            <w:shd w:val="clear" w:color="000000" w:fill="FABF8F"/>
            <w:noWrap/>
            <w:vAlign w:val="bottom"/>
            <w:hideMark/>
          </w:tcPr>
          <w:p w14:paraId="4E7482E8" w14:textId="61DC5E40" w:rsidR="005950B3" w:rsidRPr="00A85C03" w:rsidRDefault="005950B3" w:rsidP="005950B3">
            <w:pPr>
              <w:jc w:val="right"/>
              <w:rPr>
                <w:rFonts w:eastAsia="Times New Roman" w:cs="Calibri"/>
                <w:b/>
                <w:bCs/>
                <w:sz w:val="20"/>
                <w:szCs w:val="20"/>
                <w:lang w:val="en-US"/>
              </w:rPr>
            </w:pPr>
            <w:r>
              <w:rPr>
                <w:rFonts w:cs="Calibri"/>
                <w:b/>
                <w:bCs/>
                <w:sz w:val="20"/>
                <w:szCs w:val="20"/>
              </w:rPr>
              <w:t>418 000</w:t>
            </w:r>
          </w:p>
        </w:tc>
        <w:tc>
          <w:tcPr>
            <w:tcW w:w="960" w:type="dxa"/>
            <w:tcBorders>
              <w:top w:val="nil"/>
              <w:left w:val="nil"/>
              <w:bottom w:val="double" w:sz="6" w:space="0" w:color="E26B0A"/>
              <w:right w:val="double" w:sz="6" w:space="0" w:color="E26B0A"/>
            </w:tcBorders>
            <w:shd w:val="clear" w:color="000000" w:fill="FABF8F"/>
            <w:noWrap/>
            <w:vAlign w:val="bottom"/>
            <w:hideMark/>
          </w:tcPr>
          <w:p w14:paraId="66CEE78E" w14:textId="7417F49B" w:rsidR="005950B3" w:rsidRPr="00A85C03" w:rsidRDefault="005950B3" w:rsidP="005950B3">
            <w:pPr>
              <w:jc w:val="right"/>
              <w:rPr>
                <w:rFonts w:eastAsia="Times New Roman" w:cs="Calibri"/>
                <w:b/>
                <w:bCs/>
                <w:sz w:val="20"/>
                <w:szCs w:val="20"/>
                <w:lang w:val="en-US"/>
              </w:rPr>
            </w:pPr>
            <w:r>
              <w:rPr>
                <w:rFonts w:cs="Calibri"/>
                <w:b/>
                <w:bCs/>
                <w:sz w:val="20"/>
                <w:szCs w:val="20"/>
              </w:rPr>
              <w:t>194 000</w:t>
            </w:r>
          </w:p>
        </w:tc>
      </w:tr>
      <w:tr w:rsidR="005950B3" w:rsidRPr="00A85C03" w14:paraId="77ECA46D" w14:textId="77777777" w:rsidTr="00A85C03">
        <w:trPr>
          <w:trHeight w:val="300"/>
        </w:trPr>
        <w:tc>
          <w:tcPr>
            <w:tcW w:w="5360" w:type="dxa"/>
            <w:tcBorders>
              <w:top w:val="nil"/>
              <w:left w:val="double" w:sz="6" w:space="0" w:color="E26B0A"/>
              <w:bottom w:val="double" w:sz="6" w:space="0" w:color="E26B0A"/>
              <w:right w:val="double" w:sz="6" w:space="0" w:color="E26B0A"/>
            </w:tcBorders>
            <w:shd w:val="clear" w:color="000000" w:fill="FFFFFF"/>
            <w:noWrap/>
            <w:vAlign w:val="bottom"/>
            <w:hideMark/>
          </w:tcPr>
          <w:p w14:paraId="5A9555B0" w14:textId="386DE9A2" w:rsidR="005950B3" w:rsidRPr="00A85C03" w:rsidRDefault="005950B3" w:rsidP="005950B3">
            <w:pPr>
              <w:rPr>
                <w:rFonts w:eastAsia="Times New Roman" w:cs="Calibri"/>
                <w:sz w:val="20"/>
                <w:szCs w:val="20"/>
                <w:lang w:val="en-US"/>
              </w:rPr>
            </w:pPr>
            <w:r>
              <w:rPr>
                <w:rFonts w:cs="Calibri"/>
                <w:sz w:val="20"/>
                <w:szCs w:val="20"/>
              </w:rPr>
              <w:t>Брой дялове</w:t>
            </w:r>
          </w:p>
        </w:tc>
        <w:tc>
          <w:tcPr>
            <w:tcW w:w="960" w:type="dxa"/>
            <w:tcBorders>
              <w:top w:val="nil"/>
              <w:left w:val="nil"/>
              <w:bottom w:val="double" w:sz="6" w:space="0" w:color="E26B0A"/>
              <w:right w:val="double" w:sz="6" w:space="0" w:color="E26B0A"/>
            </w:tcBorders>
            <w:shd w:val="clear" w:color="000000" w:fill="FDE9D9"/>
            <w:noWrap/>
            <w:vAlign w:val="bottom"/>
            <w:hideMark/>
          </w:tcPr>
          <w:p w14:paraId="2E0535FA" w14:textId="4302DC80" w:rsidR="005950B3" w:rsidRPr="00A85C03" w:rsidRDefault="005950B3" w:rsidP="005950B3">
            <w:pPr>
              <w:jc w:val="right"/>
              <w:rPr>
                <w:rFonts w:eastAsia="Times New Roman" w:cs="Calibri"/>
                <w:sz w:val="20"/>
                <w:szCs w:val="20"/>
                <w:lang w:val="en-US"/>
              </w:rPr>
            </w:pPr>
            <w:r>
              <w:rPr>
                <w:rFonts w:cs="Calibri"/>
                <w:sz w:val="20"/>
                <w:szCs w:val="20"/>
              </w:rPr>
              <w:t>3 147</w:t>
            </w:r>
          </w:p>
        </w:tc>
        <w:tc>
          <w:tcPr>
            <w:tcW w:w="960" w:type="dxa"/>
            <w:tcBorders>
              <w:top w:val="nil"/>
              <w:left w:val="nil"/>
              <w:bottom w:val="double" w:sz="6" w:space="0" w:color="E26B0A"/>
              <w:right w:val="double" w:sz="6" w:space="0" w:color="E26B0A"/>
            </w:tcBorders>
            <w:shd w:val="clear" w:color="000000" w:fill="FDE9D9"/>
            <w:noWrap/>
            <w:vAlign w:val="bottom"/>
            <w:hideMark/>
          </w:tcPr>
          <w:p w14:paraId="18F48706" w14:textId="15CDF150" w:rsidR="005950B3" w:rsidRPr="00A85C03" w:rsidRDefault="005950B3" w:rsidP="005950B3">
            <w:pPr>
              <w:jc w:val="right"/>
              <w:rPr>
                <w:rFonts w:eastAsia="Times New Roman" w:cs="Calibri"/>
                <w:sz w:val="20"/>
                <w:szCs w:val="20"/>
                <w:lang w:val="en-US"/>
              </w:rPr>
            </w:pPr>
            <w:r>
              <w:rPr>
                <w:rFonts w:cs="Calibri"/>
                <w:sz w:val="20"/>
                <w:szCs w:val="20"/>
              </w:rPr>
              <w:t>3 147</w:t>
            </w:r>
          </w:p>
        </w:tc>
      </w:tr>
      <w:tr w:rsidR="005950B3" w:rsidRPr="00A85C03" w14:paraId="422A37A3" w14:textId="77777777" w:rsidTr="00A85C03">
        <w:trPr>
          <w:trHeight w:val="300"/>
        </w:trPr>
        <w:tc>
          <w:tcPr>
            <w:tcW w:w="5360" w:type="dxa"/>
            <w:tcBorders>
              <w:top w:val="nil"/>
              <w:left w:val="double" w:sz="6" w:space="0" w:color="E26B0A"/>
              <w:bottom w:val="double" w:sz="6" w:space="0" w:color="E26B0A"/>
              <w:right w:val="double" w:sz="6" w:space="0" w:color="E26B0A"/>
            </w:tcBorders>
            <w:shd w:val="clear" w:color="000000" w:fill="FFFFFF"/>
            <w:noWrap/>
            <w:vAlign w:val="bottom"/>
            <w:hideMark/>
          </w:tcPr>
          <w:p w14:paraId="4C6CF317" w14:textId="1811CF33" w:rsidR="005950B3" w:rsidRPr="00A85C03" w:rsidRDefault="005950B3" w:rsidP="005950B3">
            <w:pPr>
              <w:rPr>
                <w:rFonts w:eastAsia="Times New Roman" w:cs="Calibri"/>
                <w:b/>
                <w:bCs/>
                <w:sz w:val="20"/>
                <w:szCs w:val="20"/>
                <w:lang w:val="en-US"/>
              </w:rPr>
            </w:pPr>
            <w:r>
              <w:rPr>
                <w:rFonts w:cs="Calibri"/>
                <w:b/>
                <w:bCs/>
                <w:sz w:val="20"/>
                <w:szCs w:val="20"/>
              </w:rPr>
              <w:t>Стойност на 1 дял</w:t>
            </w:r>
          </w:p>
        </w:tc>
        <w:tc>
          <w:tcPr>
            <w:tcW w:w="960" w:type="dxa"/>
            <w:tcBorders>
              <w:top w:val="nil"/>
              <w:left w:val="nil"/>
              <w:bottom w:val="double" w:sz="6" w:space="0" w:color="E26B0A"/>
              <w:right w:val="double" w:sz="6" w:space="0" w:color="E26B0A"/>
            </w:tcBorders>
            <w:shd w:val="clear" w:color="000000" w:fill="FABF8F"/>
            <w:noWrap/>
            <w:vAlign w:val="bottom"/>
            <w:hideMark/>
          </w:tcPr>
          <w:p w14:paraId="0AB69F30" w14:textId="77714771" w:rsidR="005950B3" w:rsidRPr="00A85C03" w:rsidRDefault="005950B3" w:rsidP="005950B3">
            <w:pPr>
              <w:jc w:val="right"/>
              <w:rPr>
                <w:rFonts w:eastAsia="Times New Roman" w:cs="Calibri"/>
                <w:b/>
                <w:bCs/>
                <w:sz w:val="20"/>
                <w:szCs w:val="20"/>
                <w:lang w:val="en-US"/>
              </w:rPr>
            </w:pPr>
            <w:r>
              <w:rPr>
                <w:rFonts w:cs="Calibri"/>
                <w:b/>
                <w:bCs/>
                <w:sz w:val="20"/>
                <w:szCs w:val="20"/>
              </w:rPr>
              <w:t>132,82</w:t>
            </w:r>
          </w:p>
        </w:tc>
        <w:tc>
          <w:tcPr>
            <w:tcW w:w="960" w:type="dxa"/>
            <w:tcBorders>
              <w:top w:val="nil"/>
              <w:left w:val="nil"/>
              <w:bottom w:val="double" w:sz="6" w:space="0" w:color="E26B0A"/>
              <w:right w:val="double" w:sz="6" w:space="0" w:color="E26B0A"/>
            </w:tcBorders>
            <w:shd w:val="clear" w:color="000000" w:fill="FABF8F"/>
            <w:noWrap/>
            <w:vAlign w:val="bottom"/>
            <w:hideMark/>
          </w:tcPr>
          <w:p w14:paraId="1B05A225" w14:textId="45B2C50E" w:rsidR="005950B3" w:rsidRPr="00A85C03" w:rsidRDefault="005950B3" w:rsidP="005950B3">
            <w:pPr>
              <w:jc w:val="right"/>
              <w:rPr>
                <w:rFonts w:eastAsia="Times New Roman" w:cs="Calibri"/>
                <w:b/>
                <w:bCs/>
                <w:sz w:val="20"/>
                <w:szCs w:val="20"/>
                <w:lang w:val="en-US"/>
              </w:rPr>
            </w:pPr>
            <w:r>
              <w:rPr>
                <w:rFonts w:cs="Calibri"/>
                <w:b/>
                <w:bCs/>
                <w:sz w:val="20"/>
                <w:szCs w:val="20"/>
              </w:rPr>
              <w:t>61,65</w:t>
            </w:r>
          </w:p>
        </w:tc>
      </w:tr>
    </w:tbl>
    <w:p w14:paraId="1893F131" w14:textId="77777777" w:rsidR="00A85C03" w:rsidRDefault="00A85C03" w:rsidP="00FB5904">
      <w:pPr>
        <w:tabs>
          <w:tab w:val="left" w:pos="180"/>
        </w:tabs>
        <w:ind w:left="180" w:right="114"/>
        <w:jc w:val="both"/>
      </w:pPr>
    </w:p>
    <w:p w14:paraId="6A3CE922" w14:textId="39097677" w:rsidR="00C96078" w:rsidRDefault="00A85C03" w:rsidP="00FB5904">
      <w:pPr>
        <w:tabs>
          <w:tab w:val="left" w:pos="180"/>
        </w:tabs>
        <w:ind w:left="180" w:right="114"/>
        <w:jc w:val="both"/>
      </w:pPr>
      <w:r>
        <w:br w:type="textWrapping" w:clear="all"/>
      </w:r>
    </w:p>
    <w:p w14:paraId="3DC8B949" w14:textId="1EE27298" w:rsidR="00C96078" w:rsidRDefault="00974226" w:rsidP="00FB5904">
      <w:pPr>
        <w:tabs>
          <w:tab w:val="left" w:pos="180"/>
        </w:tabs>
        <w:ind w:left="180" w:right="114"/>
        <w:jc w:val="both"/>
      </w:pPr>
      <w:r>
        <w:rPr>
          <w:noProof/>
          <w:lang w:eastAsia="bg-BG"/>
        </w:rPr>
        <w:lastRenderedPageBreak/>
        <w:drawing>
          <wp:inline distT="0" distB="0" distL="0" distR="0" wp14:anchorId="2534B5BE" wp14:editId="722D104D">
            <wp:extent cx="4792980" cy="2727960"/>
            <wp:effectExtent l="57150" t="19050" r="64770" b="91440"/>
            <wp:docPr id="15" name="Chart 1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F5C4629-55C5-4D94-95C0-79F5A9D57E2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5E10CB3" w14:textId="75B0DF48" w:rsidR="00974226" w:rsidRDefault="00974226" w:rsidP="00FB5904">
      <w:pPr>
        <w:tabs>
          <w:tab w:val="left" w:pos="180"/>
        </w:tabs>
        <w:ind w:left="180" w:right="114"/>
        <w:jc w:val="both"/>
      </w:pPr>
    </w:p>
    <w:p w14:paraId="1D72B19A" w14:textId="4A7021AA" w:rsidR="00974226" w:rsidRDefault="00974226" w:rsidP="00FB5904">
      <w:pPr>
        <w:tabs>
          <w:tab w:val="left" w:pos="180"/>
        </w:tabs>
        <w:ind w:left="180" w:right="114"/>
        <w:jc w:val="both"/>
      </w:pPr>
      <w:r>
        <w:rPr>
          <w:noProof/>
          <w:lang w:eastAsia="bg-BG"/>
        </w:rPr>
        <w:drawing>
          <wp:inline distT="0" distB="0" distL="0" distR="0" wp14:anchorId="4AC849A1" wp14:editId="00BD7B49">
            <wp:extent cx="4792980" cy="2621280"/>
            <wp:effectExtent l="57150" t="19050" r="64770" b="102870"/>
            <wp:docPr id="20" name="Chart 20">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AEB4790-CBCB-4A1B-9001-0BACDF36AF8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7D096A4A" w14:textId="6D3F81A1" w:rsidR="00A85C03" w:rsidRDefault="00A85C03" w:rsidP="00FB5904">
      <w:pPr>
        <w:tabs>
          <w:tab w:val="left" w:pos="180"/>
        </w:tabs>
        <w:ind w:left="180" w:right="114"/>
        <w:jc w:val="both"/>
      </w:pPr>
    </w:p>
    <w:p w14:paraId="385CFB4B" w14:textId="679A496D" w:rsidR="00A85C03" w:rsidRDefault="00A85C03" w:rsidP="00FB5904">
      <w:pPr>
        <w:tabs>
          <w:tab w:val="left" w:pos="180"/>
        </w:tabs>
        <w:ind w:left="180" w:right="114"/>
        <w:jc w:val="both"/>
      </w:pPr>
    </w:p>
    <w:p w14:paraId="61B06088" w14:textId="6AF2BCC0" w:rsidR="00A85C03" w:rsidRDefault="00A85C03" w:rsidP="00FB5904">
      <w:pPr>
        <w:tabs>
          <w:tab w:val="left" w:pos="180"/>
        </w:tabs>
        <w:ind w:left="180" w:right="114"/>
        <w:jc w:val="both"/>
      </w:pPr>
    </w:p>
    <w:p w14:paraId="7D400FC7" w14:textId="1DAA3337" w:rsidR="00A85C03" w:rsidRDefault="00A85C03" w:rsidP="00FB5904">
      <w:pPr>
        <w:tabs>
          <w:tab w:val="left" w:pos="180"/>
        </w:tabs>
        <w:ind w:left="180" w:right="114"/>
        <w:jc w:val="both"/>
      </w:pPr>
    </w:p>
    <w:p w14:paraId="257B8A71" w14:textId="24FFD961" w:rsidR="00A85C03" w:rsidRDefault="00A85C03" w:rsidP="00FB5904">
      <w:pPr>
        <w:tabs>
          <w:tab w:val="left" w:pos="180"/>
        </w:tabs>
        <w:ind w:left="180" w:right="114"/>
        <w:jc w:val="both"/>
      </w:pPr>
    </w:p>
    <w:p w14:paraId="5878F518" w14:textId="77777777" w:rsidR="00C96078" w:rsidRDefault="00C96078" w:rsidP="00FB5904">
      <w:pPr>
        <w:tabs>
          <w:tab w:val="left" w:pos="180"/>
        </w:tabs>
        <w:ind w:left="180" w:right="114"/>
        <w:jc w:val="both"/>
      </w:pPr>
    </w:p>
    <w:p w14:paraId="335F6FD0" w14:textId="72ACA9C7" w:rsidR="00C96078" w:rsidRDefault="00C96078" w:rsidP="00FB5904">
      <w:pPr>
        <w:tabs>
          <w:tab w:val="left" w:pos="180"/>
        </w:tabs>
        <w:ind w:left="180" w:right="114"/>
        <w:jc w:val="both"/>
      </w:pPr>
    </w:p>
    <w:p w14:paraId="6F514D16" w14:textId="77777777" w:rsidR="00C96078" w:rsidRDefault="00C96078" w:rsidP="00FB5904">
      <w:pPr>
        <w:tabs>
          <w:tab w:val="left" w:pos="180"/>
        </w:tabs>
        <w:ind w:left="180" w:right="114"/>
        <w:jc w:val="both"/>
      </w:pPr>
    </w:p>
    <w:p w14:paraId="1D072C9F" w14:textId="77777777" w:rsidR="00DD107E" w:rsidRDefault="00DD107E" w:rsidP="00FB5904">
      <w:pPr>
        <w:tabs>
          <w:tab w:val="left" w:pos="180"/>
        </w:tabs>
        <w:ind w:left="180" w:right="114"/>
        <w:jc w:val="both"/>
      </w:pPr>
    </w:p>
    <w:p w14:paraId="37478B55" w14:textId="77777777" w:rsidR="00D92723" w:rsidRDefault="00D92723" w:rsidP="00FB5904">
      <w:pPr>
        <w:tabs>
          <w:tab w:val="left" w:pos="180"/>
        </w:tabs>
        <w:ind w:left="180" w:right="114"/>
        <w:jc w:val="both"/>
      </w:pPr>
    </w:p>
    <w:p w14:paraId="4EB8FEDD" w14:textId="77777777" w:rsidR="00D92723" w:rsidRDefault="00D92723" w:rsidP="00FB5904">
      <w:pPr>
        <w:tabs>
          <w:tab w:val="left" w:pos="180"/>
        </w:tabs>
        <w:ind w:left="180" w:right="114"/>
        <w:jc w:val="both"/>
      </w:pPr>
    </w:p>
    <w:p w14:paraId="2A164CF6" w14:textId="64FA2E94" w:rsidR="00D92723" w:rsidRDefault="00D92723" w:rsidP="00FB5904">
      <w:pPr>
        <w:tabs>
          <w:tab w:val="left" w:pos="180"/>
        </w:tabs>
        <w:ind w:left="180" w:right="114"/>
        <w:jc w:val="both"/>
      </w:pPr>
    </w:p>
    <w:p w14:paraId="349349B1" w14:textId="77777777" w:rsidR="00D92723" w:rsidRDefault="00D92723" w:rsidP="00FB5904">
      <w:pPr>
        <w:tabs>
          <w:tab w:val="left" w:pos="180"/>
        </w:tabs>
        <w:ind w:left="180" w:right="114"/>
        <w:jc w:val="both"/>
      </w:pPr>
    </w:p>
    <w:p w14:paraId="117EDA5A" w14:textId="77777777" w:rsidR="00441865" w:rsidRDefault="00441865" w:rsidP="00FB5904">
      <w:pPr>
        <w:tabs>
          <w:tab w:val="left" w:pos="180"/>
        </w:tabs>
        <w:ind w:left="180" w:right="114"/>
        <w:jc w:val="both"/>
      </w:pPr>
    </w:p>
    <w:p w14:paraId="4A8B7A5F" w14:textId="77777777" w:rsidR="00D92723" w:rsidRDefault="00D92723" w:rsidP="00FB5904">
      <w:pPr>
        <w:tabs>
          <w:tab w:val="left" w:pos="180"/>
        </w:tabs>
        <w:ind w:left="180" w:right="114"/>
        <w:jc w:val="both"/>
      </w:pPr>
    </w:p>
    <w:p w14:paraId="63E279E2" w14:textId="77777777" w:rsidR="00D92723" w:rsidRDefault="00D92723" w:rsidP="00FB5904">
      <w:pPr>
        <w:tabs>
          <w:tab w:val="left" w:pos="180"/>
        </w:tabs>
        <w:ind w:left="180" w:right="114"/>
        <w:jc w:val="both"/>
      </w:pPr>
    </w:p>
    <w:p w14:paraId="026AB81C" w14:textId="77777777" w:rsidR="00C96078" w:rsidRDefault="00C96078" w:rsidP="00FB5904">
      <w:pPr>
        <w:tabs>
          <w:tab w:val="left" w:pos="180"/>
        </w:tabs>
        <w:ind w:left="180" w:right="114"/>
        <w:jc w:val="both"/>
      </w:pPr>
    </w:p>
    <w:p w14:paraId="5325B7F4" w14:textId="77777777" w:rsidR="00C96078" w:rsidRDefault="00C96078" w:rsidP="00FB5904">
      <w:pPr>
        <w:tabs>
          <w:tab w:val="left" w:pos="180"/>
        </w:tabs>
        <w:ind w:left="180" w:right="114"/>
        <w:jc w:val="both"/>
      </w:pPr>
    </w:p>
    <w:p w14:paraId="690EE4CE" w14:textId="77777777" w:rsidR="00C96078" w:rsidRDefault="00C96078" w:rsidP="00FB5904">
      <w:pPr>
        <w:tabs>
          <w:tab w:val="left" w:pos="180"/>
        </w:tabs>
        <w:ind w:left="180" w:right="114"/>
        <w:jc w:val="both"/>
      </w:pPr>
    </w:p>
    <w:p w14:paraId="7B6CA985" w14:textId="77777777" w:rsidR="00C96078" w:rsidRDefault="00C96078" w:rsidP="00FB5904">
      <w:pPr>
        <w:tabs>
          <w:tab w:val="left" w:pos="180"/>
        </w:tabs>
        <w:ind w:left="180" w:right="114"/>
        <w:jc w:val="both"/>
      </w:pPr>
    </w:p>
    <w:p w14:paraId="12B048BB" w14:textId="77777777" w:rsidR="00C96078" w:rsidRDefault="00C96078" w:rsidP="00FB5904">
      <w:pPr>
        <w:tabs>
          <w:tab w:val="left" w:pos="180"/>
        </w:tabs>
        <w:ind w:left="180" w:right="114"/>
        <w:jc w:val="both"/>
      </w:pPr>
    </w:p>
    <w:p w14:paraId="0FE2F9B0" w14:textId="77777777" w:rsidR="00C96078" w:rsidRDefault="00C96078" w:rsidP="00FB5904">
      <w:pPr>
        <w:tabs>
          <w:tab w:val="left" w:pos="180"/>
        </w:tabs>
        <w:ind w:left="180" w:right="114"/>
        <w:jc w:val="both"/>
      </w:pPr>
    </w:p>
    <w:p w14:paraId="7E318022" w14:textId="77777777" w:rsidR="00CA67F6" w:rsidRPr="002228B1" w:rsidRDefault="00CA67F6" w:rsidP="002228B1">
      <w:pPr>
        <w:numPr>
          <w:ilvl w:val="0"/>
          <w:numId w:val="22"/>
        </w:numPr>
        <w:tabs>
          <w:tab w:val="left" w:pos="426"/>
        </w:tabs>
        <w:ind w:hanging="4973"/>
        <w:jc w:val="both"/>
        <w:rPr>
          <w:b/>
          <w:color w:val="E36C0A"/>
        </w:rPr>
      </w:pPr>
      <w:r w:rsidRPr="002228B1">
        <w:rPr>
          <w:b/>
          <w:color w:val="E36C0A"/>
        </w:rPr>
        <w:t>Нефинансови показатели</w:t>
      </w:r>
    </w:p>
    <w:p w14:paraId="4C0D88E5" w14:textId="77777777" w:rsidR="00724729" w:rsidRDefault="00724729" w:rsidP="008D397F">
      <w:pPr>
        <w:jc w:val="center"/>
        <w:rPr>
          <w:sz w:val="24"/>
          <w:szCs w:val="24"/>
        </w:rPr>
      </w:pPr>
    </w:p>
    <w:p w14:paraId="3E498C70" w14:textId="77777777" w:rsidR="00492B1F" w:rsidRPr="007544B6" w:rsidRDefault="00535FFF" w:rsidP="002228B1">
      <w:pPr>
        <w:numPr>
          <w:ilvl w:val="0"/>
          <w:numId w:val="6"/>
        </w:numPr>
        <w:ind w:left="993" w:hanging="284"/>
        <w:rPr>
          <w:b/>
        </w:rPr>
      </w:pPr>
      <w:r w:rsidRPr="007544B6">
        <w:rPr>
          <w:b/>
        </w:rPr>
        <w:t>Организационна структура</w:t>
      </w:r>
    </w:p>
    <w:p w14:paraId="269D76F6" w14:textId="3BACCE9B" w:rsidR="00724729" w:rsidRDefault="00316233" w:rsidP="00724729">
      <w:pPr>
        <w:rPr>
          <w:b/>
          <w:sz w:val="24"/>
          <w:szCs w:val="24"/>
        </w:rPr>
      </w:pPr>
      <w:r>
        <w:rPr>
          <w:b/>
          <w:noProof/>
          <w:sz w:val="24"/>
          <w:szCs w:val="24"/>
          <w:lang w:eastAsia="bg-BG"/>
        </w:rPr>
        <w:drawing>
          <wp:inline distT="0" distB="0" distL="0" distR="0" wp14:anchorId="0CEB7B29" wp14:editId="14DEA000">
            <wp:extent cx="6142990" cy="7920990"/>
            <wp:effectExtent l="0" t="0" r="0" b="0"/>
            <wp:docPr id="468" name="Picture 4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6142990" cy="7920990"/>
                    </a:xfrm>
                    <a:prstGeom prst="rect">
                      <a:avLst/>
                    </a:prstGeom>
                    <a:noFill/>
                  </pic:spPr>
                </pic:pic>
              </a:graphicData>
            </a:graphic>
          </wp:inline>
        </w:drawing>
      </w:r>
    </w:p>
    <w:p w14:paraId="01E97FC8" w14:textId="77777777" w:rsidR="00535FFF" w:rsidRDefault="00535FFF" w:rsidP="00724729">
      <w:pPr>
        <w:rPr>
          <w:b/>
          <w:sz w:val="24"/>
          <w:szCs w:val="24"/>
        </w:rPr>
      </w:pPr>
    </w:p>
    <w:p w14:paraId="75D7C8E9" w14:textId="77777777" w:rsidR="00535FFF" w:rsidRDefault="00535FFF" w:rsidP="00724729">
      <w:pPr>
        <w:rPr>
          <w:b/>
          <w:sz w:val="24"/>
          <w:szCs w:val="24"/>
        </w:rPr>
      </w:pPr>
    </w:p>
    <w:p w14:paraId="67692022" w14:textId="77777777" w:rsidR="00C96078" w:rsidRDefault="00C96078" w:rsidP="00724729">
      <w:pPr>
        <w:rPr>
          <w:b/>
          <w:sz w:val="24"/>
          <w:szCs w:val="24"/>
        </w:rPr>
      </w:pPr>
    </w:p>
    <w:p w14:paraId="47029663" w14:textId="31A4F51B" w:rsidR="00535FFF" w:rsidRDefault="00535FFF" w:rsidP="002228B1">
      <w:pPr>
        <w:numPr>
          <w:ilvl w:val="0"/>
          <w:numId w:val="6"/>
        </w:numPr>
        <w:ind w:left="993" w:hanging="284"/>
        <w:rPr>
          <w:b/>
        </w:rPr>
      </w:pPr>
      <w:r w:rsidRPr="007544B6">
        <w:rPr>
          <w:b/>
        </w:rPr>
        <w:t>Численост и структура на персонала:</w:t>
      </w:r>
    </w:p>
    <w:tbl>
      <w:tblPr>
        <w:tblW w:w="8600" w:type="dxa"/>
        <w:tblLook w:val="04A0" w:firstRow="1" w:lastRow="0" w:firstColumn="1" w:lastColumn="0" w:noHBand="0" w:noVBand="1"/>
      </w:tblPr>
      <w:tblGrid>
        <w:gridCol w:w="6640"/>
        <w:gridCol w:w="980"/>
        <w:gridCol w:w="980"/>
      </w:tblGrid>
      <w:tr w:rsidR="00A43E13" w:rsidRPr="00A43E13" w14:paraId="6585824F" w14:textId="77777777" w:rsidTr="00A43E13">
        <w:trPr>
          <w:trHeight w:val="252"/>
        </w:trPr>
        <w:tc>
          <w:tcPr>
            <w:tcW w:w="7620" w:type="dxa"/>
            <w:gridSpan w:val="2"/>
            <w:tcBorders>
              <w:top w:val="nil"/>
              <w:left w:val="nil"/>
              <w:bottom w:val="nil"/>
              <w:right w:val="nil"/>
            </w:tcBorders>
            <w:shd w:val="clear" w:color="auto" w:fill="auto"/>
            <w:noWrap/>
            <w:vAlign w:val="bottom"/>
            <w:hideMark/>
          </w:tcPr>
          <w:p w14:paraId="10801954" w14:textId="77777777" w:rsidR="00A43E13" w:rsidRPr="00A43E13" w:rsidRDefault="00A43E13" w:rsidP="00A43E13">
            <w:pPr>
              <w:rPr>
                <w:rFonts w:ascii="Times New Roman" w:eastAsia="Times New Roman" w:hAnsi="Times New Roman"/>
                <w:sz w:val="20"/>
                <w:szCs w:val="20"/>
                <w:lang w:val="en-US"/>
              </w:rPr>
            </w:pPr>
          </w:p>
        </w:tc>
        <w:tc>
          <w:tcPr>
            <w:tcW w:w="980" w:type="dxa"/>
            <w:tcBorders>
              <w:top w:val="nil"/>
              <w:left w:val="nil"/>
              <w:bottom w:val="nil"/>
              <w:right w:val="nil"/>
            </w:tcBorders>
            <w:shd w:val="clear" w:color="auto" w:fill="auto"/>
            <w:noWrap/>
            <w:vAlign w:val="bottom"/>
            <w:hideMark/>
          </w:tcPr>
          <w:p w14:paraId="1D5874CC" w14:textId="77777777" w:rsidR="00A43E13" w:rsidRPr="00A43E13" w:rsidRDefault="00A43E13" w:rsidP="00A43E13">
            <w:pPr>
              <w:jc w:val="right"/>
              <w:rPr>
                <w:rFonts w:eastAsia="Times New Roman" w:cs="Calibri"/>
                <w:i/>
                <w:iCs/>
                <w:sz w:val="16"/>
                <w:szCs w:val="16"/>
                <w:lang w:val="en-US"/>
              </w:rPr>
            </w:pPr>
            <w:r w:rsidRPr="00A43E13">
              <w:rPr>
                <w:rFonts w:eastAsia="Times New Roman" w:cs="Calibri"/>
                <w:i/>
                <w:iCs/>
                <w:sz w:val="16"/>
                <w:szCs w:val="16"/>
                <w:lang w:val="en-US"/>
              </w:rPr>
              <w:t>(брой)</w:t>
            </w:r>
          </w:p>
        </w:tc>
      </w:tr>
      <w:tr w:rsidR="00A43E13" w:rsidRPr="00A43E13" w14:paraId="48D07BED" w14:textId="77777777" w:rsidTr="00A43E13">
        <w:trPr>
          <w:trHeight w:val="300"/>
        </w:trPr>
        <w:tc>
          <w:tcPr>
            <w:tcW w:w="6640" w:type="dxa"/>
            <w:tcBorders>
              <w:top w:val="double" w:sz="6" w:space="0" w:color="E26B0A"/>
              <w:left w:val="double" w:sz="6" w:space="0" w:color="E26B0A"/>
              <w:bottom w:val="double" w:sz="6" w:space="0" w:color="E26B0A"/>
              <w:right w:val="double" w:sz="6" w:space="0" w:color="E26B0A"/>
            </w:tcBorders>
            <w:shd w:val="clear" w:color="000000" w:fill="E26B0A"/>
            <w:hideMark/>
          </w:tcPr>
          <w:p w14:paraId="4DE5067C" w14:textId="77777777" w:rsidR="00A43E13" w:rsidRPr="00A43E13" w:rsidRDefault="00A43E13" w:rsidP="00A43E13">
            <w:pPr>
              <w:jc w:val="center"/>
              <w:rPr>
                <w:rFonts w:eastAsia="Times New Roman" w:cs="Calibri"/>
                <w:b/>
                <w:bCs/>
                <w:color w:val="FFFFFF"/>
                <w:sz w:val="20"/>
                <w:szCs w:val="20"/>
                <w:lang w:val="en-US"/>
              </w:rPr>
            </w:pPr>
            <w:r w:rsidRPr="00A43E13">
              <w:rPr>
                <w:rFonts w:eastAsia="Times New Roman" w:cs="Calibri"/>
                <w:b/>
                <w:bCs/>
                <w:color w:val="FFFFFF"/>
                <w:sz w:val="20"/>
                <w:szCs w:val="20"/>
                <w:lang w:val="en-US"/>
              </w:rPr>
              <w:t>Категория</w:t>
            </w:r>
          </w:p>
        </w:tc>
        <w:tc>
          <w:tcPr>
            <w:tcW w:w="980" w:type="dxa"/>
            <w:tcBorders>
              <w:top w:val="double" w:sz="6" w:space="0" w:color="E26B0A"/>
              <w:left w:val="nil"/>
              <w:bottom w:val="double" w:sz="6" w:space="0" w:color="E26B0A"/>
              <w:right w:val="double" w:sz="6" w:space="0" w:color="E26B0A"/>
            </w:tcBorders>
            <w:shd w:val="clear" w:color="000000" w:fill="E26B0A"/>
            <w:noWrap/>
            <w:vAlign w:val="bottom"/>
            <w:hideMark/>
          </w:tcPr>
          <w:p w14:paraId="6636B190" w14:textId="77777777" w:rsidR="00A43E13" w:rsidRPr="00A43E13" w:rsidRDefault="00A43E13" w:rsidP="00A43E13">
            <w:pPr>
              <w:jc w:val="center"/>
              <w:rPr>
                <w:rFonts w:eastAsia="Times New Roman" w:cs="Calibri"/>
                <w:b/>
                <w:bCs/>
                <w:color w:val="FFFFFF"/>
                <w:sz w:val="20"/>
                <w:szCs w:val="20"/>
                <w:lang w:val="en-US"/>
              </w:rPr>
            </w:pPr>
            <w:r w:rsidRPr="00A43E13">
              <w:rPr>
                <w:rFonts w:eastAsia="Times New Roman" w:cs="Calibri"/>
                <w:b/>
                <w:bCs/>
                <w:color w:val="FFFFFF"/>
                <w:sz w:val="20"/>
                <w:szCs w:val="20"/>
                <w:lang w:val="en-US"/>
              </w:rPr>
              <w:t>2021</w:t>
            </w:r>
          </w:p>
        </w:tc>
        <w:tc>
          <w:tcPr>
            <w:tcW w:w="980" w:type="dxa"/>
            <w:tcBorders>
              <w:top w:val="double" w:sz="6" w:space="0" w:color="E26B0A"/>
              <w:left w:val="nil"/>
              <w:bottom w:val="double" w:sz="6" w:space="0" w:color="E26B0A"/>
              <w:right w:val="double" w:sz="6" w:space="0" w:color="E26B0A"/>
            </w:tcBorders>
            <w:shd w:val="clear" w:color="000000" w:fill="E26B0A"/>
            <w:noWrap/>
            <w:vAlign w:val="bottom"/>
            <w:hideMark/>
          </w:tcPr>
          <w:p w14:paraId="5B46DE71" w14:textId="77777777" w:rsidR="00A43E13" w:rsidRPr="00A43E13" w:rsidRDefault="00A43E13" w:rsidP="00A43E13">
            <w:pPr>
              <w:jc w:val="center"/>
              <w:rPr>
                <w:rFonts w:eastAsia="Times New Roman" w:cs="Calibri"/>
                <w:b/>
                <w:bCs/>
                <w:color w:val="FFFFFF"/>
                <w:sz w:val="20"/>
                <w:szCs w:val="20"/>
                <w:lang w:val="en-US"/>
              </w:rPr>
            </w:pPr>
            <w:r w:rsidRPr="00A43E13">
              <w:rPr>
                <w:rFonts w:eastAsia="Times New Roman" w:cs="Calibri"/>
                <w:b/>
                <w:bCs/>
                <w:color w:val="FFFFFF"/>
                <w:sz w:val="20"/>
                <w:szCs w:val="20"/>
                <w:lang w:val="en-US"/>
              </w:rPr>
              <w:t>2020</w:t>
            </w:r>
          </w:p>
        </w:tc>
      </w:tr>
      <w:tr w:rsidR="00A43E13" w:rsidRPr="00A43E13" w14:paraId="1EEF008C" w14:textId="77777777" w:rsidTr="00A43E13">
        <w:trPr>
          <w:trHeight w:val="300"/>
        </w:trPr>
        <w:tc>
          <w:tcPr>
            <w:tcW w:w="6640" w:type="dxa"/>
            <w:tcBorders>
              <w:top w:val="nil"/>
              <w:left w:val="double" w:sz="6" w:space="0" w:color="E26B0A"/>
              <w:bottom w:val="double" w:sz="6" w:space="0" w:color="E26B0A"/>
              <w:right w:val="double" w:sz="6" w:space="0" w:color="E26B0A"/>
            </w:tcBorders>
            <w:shd w:val="clear" w:color="auto" w:fill="auto"/>
            <w:hideMark/>
          </w:tcPr>
          <w:p w14:paraId="012F1C00" w14:textId="77777777" w:rsidR="00A43E13" w:rsidRPr="00A43E13" w:rsidRDefault="00A43E13" w:rsidP="00A43E13">
            <w:pPr>
              <w:jc w:val="center"/>
              <w:rPr>
                <w:rFonts w:eastAsia="Times New Roman" w:cs="Calibri"/>
                <w:b/>
                <w:bCs/>
                <w:sz w:val="20"/>
                <w:szCs w:val="20"/>
                <w:lang w:val="en-US"/>
              </w:rPr>
            </w:pPr>
            <w:r w:rsidRPr="00A43E13">
              <w:rPr>
                <w:rFonts w:eastAsia="Times New Roman" w:cs="Calibri"/>
                <w:b/>
                <w:bCs/>
                <w:sz w:val="20"/>
                <w:szCs w:val="20"/>
                <w:lang w:val="en-US"/>
              </w:rPr>
              <w:t>Общо, в т.ч.</w:t>
            </w:r>
          </w:p>
        </w:tc>
        <w:tc>
          <w:tcPr>
            <w:tcW w:w="980" w:type="dxa"/>
            <w:tcBorders>
              <w:top w:val="nil"/>
              <w:left w:val="nil"/>
              <w:bottom w:val="double" w:sz="6" w:space="0" w:color="E26B0A"/>
              <w:right w:val="double" w:sz="6" w:space="0" w:color="E26B0A"/>
            </w:tcBorders>
            <w:shd w:val="clear" w:color="000000" w:fill="FABF8F"/>
            <w:hideMark/>
          </w:tcPr>
          <w:p w14:paraId="0751EADE" w14:textId="77777777" w:rsidR="00A43E13" w:rsidRPr="00A43E13" w:rsidRDefault="00A43E13" w:rsidP="00A43E13">
            <w:pPr>
              <w:jc w:val="center"/>
              <w:rPr>
                <w:rFonts w:eastAsia="Times New Roman" w:cs="Calibri"/>
                <w:b/>
                <w:bCs/>
                <w:sz w:val="20"/>
                <w:szCs w:val="20"/>
                <w:lang w:val="en-US"/>
              </w:rPr>
            </w:pPr>
            <w:r w:rsidRPr="00A43E13">
              <w:rPr>
                <w:rFonts w:eastAsia="Times New Roman" w:cs="Calibri"/>
                <w:b/>
                <w:bCs/>
                <w:sz w:val="20"/>
                <w:szCs w:val="20"/>
                <w:lang w:val="en-US"/>
              </w:rPr>
              <w:t>48,55</w:t>
            </w:r>
          </w:p>
        </w:tc>
        <w:tc>
          <w:tcPr>
            <w:tcW w:w="980" w:type="dxa"/>
            <w:tcBorders>
              <w:top w:val="nil"/>
              <w:left w:val="nil"/>
              <w:bottom w:val="double" w:sz="6" w:space="0" w:color="E26B0A"/>
              <w:right w:val="double" w:sz="6" w:space="0" w:color="E26B0A"/>
            </w:tcBorders>
            <w:shd w:val="clear" w:color="000000" w:fill="FABF8F"/>
            <w:hideMark/>
          </w:tcPr>
          <w:p w14:paraId="6CAC0955" w14:textId="77777777" w:rsidR="00A43E13" w:rsidRPr="00A43E13" w:rsidRDefault="00A43E13" w:rsidP="00A43E13">
            <w:pPr>
              <w:jc w:val="center"/>
              <w:rPr>
                <w:rFonts w:eastAsia="Times New Roman" w:cs="Calibri"/>
                <w:b/>
                <w:bCs/>
                <w:sz w:val="20"/>
                <w:szCs w:val="20"/>
                <w:lang w:val="en-US"/>
              </w:rPr>
            </w:pPr>
            <w:r w:rsidRPr="00A43E13">
              <w:rPr>
                <w:rFonts w:eastAsia="Times New Roman" w:cs="Calibri"/>
                <w:b/>
                <w:bCs/>
                <w:sz w:val="20"/>
                <w:szCs w:val="20"/>
                <w:lang w:val="en-US"/>
              </w:rPr>
              <w:t>48,55</w:t>
            </w:r>
          </w:p>
        </w:tc>
      </w:tr>
      <w:tr w:rsidR="00A43E13" w:rsidRPr="00A43E13" w14:paraId="0D7CAE16" w14:textId="77777777" w:rsidTr="00A43E13">
        <w:trPr>
          <w:trHeight w:val="300"/>
        </w:trPr>
        <w:tc>
          <w:tcPr>
            <w:tcW w:w="6640" w:type="dxa"/>
            <w:tcBorders>
              <w:top w:val="nil"/>
              <w:left w:val="double" w:sz="6" w:space="0" w:color="E26B0A"/>
              <w:bottom w:val="double" w:sz="6" w:space="0" w:color="E26B0A"/>
              <w:right w:val="double" w:sz="6" w:space="0" w:color="E26B0A"/>
            </w:tcBorders>
            <w:shd w:val="clear" w:color="auto" w:fill="auto"/>
            <w:noWrap/>
            <w:vAlign w:val="bottom"/>
            <w:hideMark/>
          </w:tcPr>
          <w:p w14:paraId="51F4C410" w14:textId="77777777" w:rsidR="00A43E13" w:rsidRPr="00A43E13" w:rsidRDefault="00A43E13" w:rsidP="00A43E13">
            <w:pPr>
              <w:rPr>
                <w:rFonts w:eastAsia="Times New Roman" w:cs="Calibri"/>
                <w:color w:val="000000"/>
                <w:sz w:val="20"/>
                <w:szCs w:val="20"/>
                <w:lang w:val="en-US"/>
              </w:rPr>
            </w:pPr>
            <w:r w:rsidRPr="00A43E13">
              <w:rPr>
                <w:rFonts w:eastAsia="Times New Roman" w:cs="Calibri"/>
                <w:color w:val="000000"/>
                <w:sz w:val="20"/>
                <w:szCs w:val="20"/>
                <w:lang w:val="en-US"/>
              </w:rPr>
              <w:t>Ръководни служители</w:t>
            </w:r>
          </w:p>
        </w:tc>
        <w:tc>
          <w:tcPr>
            <w:tcW w:w="980" w:type="dxa"/>
            <w:tcBorders>
              <w:top w:val="nil"/>
              <w:left w:val="nil"/>
              <w:bottom w:val="double" w:sz="6" w:space="0" w:color="E26B0A"/>
              <w:right w:val="double" w:sz="6" w:space="0" w:color="E26B0A"/>
            </w:tcBorders>
            <w:shd w:val="clear" w:color="000000" w:fill="FDE9D9"/>
            <w:vAlign w:val="center"/>
            <w:hideMark/>
          </w:tcPr>
          <w:p w14:paraId="36128569" w14:textId="77777777" w:rsidR="00A43E13" w:rsidRPr="00A43E13" w:rsidRDefault="00A43E13" w:rsidP="00A43E13">
            <w:pPr>
              <w:jc w:val="center"/>
              <w:rPr>
                <w:rFonts w:eastAsia="Times New Roman" w:cs="Calibri"/>
                <w:sz w:val="20"/>
                <w:szCs w:val="20"/>
                <w:lang w:val="en-US"/>
              </w:rPr>
            </w:pPr>
            <w:r w:rsidRPr="00A43E13">
              <w:rPr>
                <w:rFonts w:eastAsia="Times New Roman" w:cs="Calibri"/>
                <w:sz w:val="20"/>
                <w:szCs w:val="20"/>
                <w:lang w:val="en-US"/>
              </w:rPr>
              <w:t>3</w:t>
            </w:r>
          </w:p>
        </w:tc>
        <w:tc>
          <w:tcPr>
            <w:tcW w:w="980" w:type="dxa"/>
            <w:tcBorders>
              <w:top w:val="nil"/>
              <w:left w:val="nil"/>
              <w:bottom w:val="double" w:sz="6" w:space="0" w:color="E26B0A"/>
              <w:right w:val="double" w:sz="6" w:space="0" w:color="E26B0A"/>
            </w:tcBorders>
            <w:shd w:val="clear" w:color="000000" w:fill="FDE9D9"/>
            <w:vAlign w:val="center"/>
            <w:hideMark/>
          </w:tcPr>
          <w:p w14:paraId="7F94E0B0" w14:textId="77777777" w:rsidR="00A43E13" w:rsidRPr="00A43E13" w:rsidRDefault="00A43E13" w:rsidP="00A43E13">
            <w:pPr>
              <w:jc w:val="center"/>
              <w:rPr>
                <w:rFonts w:eastAsia="Times New Roman" w:cs="Calibri"/>
                <w:sz w:val="20"/>
                <w:szCs w:val="20"/>
                <w:lang w:val="en-US"/>
              </w:rPr>
            </w:pPr>
            <w:r w:rsidRPr="00A43E13">
              <w:rPr>
                <w:rFonts w:eastAsia="Times New Roman" w:cs="Calibri"/>
                <w:sz w:val="20"/>
                <w:szCs w:val="20"/>
                <w:lang w:val="en-US"/>
              </w:rPr>
              <w:t>3</w:t>
            </w:r>
          </w:p>
        </w:tc>
      </w:tr>
      <w:tr w:rsidR="00A43E13" w:rsidRPr="00A43E13" w14:paraId="14299F92" w14:textId="77777777" w:rsidTr="00A43E13">
        <w:trPr>
          <w:trHeight w:val="300"/>
        </w:trPr>
        <w:tc>
          <w:tcPr>
            <w:tcW w:w="6640" w:type="dxa"/>
            <w:tcBorders>
              <w:top w:val="nil"/>
              <w:left w:val="double" w:sz="6" w:space="0" w:color="E26B0A"/>
              <w:bottom w:val="double" w:sz="6" w:space="0" w:color="E26B0A"/>
              <w:right w:val="double" w:sz="6" w:space="0" w:color="E26B0A"/>
            </w:tcBorders>
            <w:shd w:val="clear" w:color="auto" w:fill="auto"/>
            <w:noWrap/>
            <w:vAlign w:val="bottom"/>
            <w:hideMark/>
          </w:tcPr>
          <w:p w14:paraId="032F3612" w14:textId="77777777" w:rsidR="00A43E13" w:rsidRPr="00A43E13" w:rsidRDefault="00A43E13" w:rsidP="00A43E13">
            <w:pPr>
              <w:rPr>
                <w:rFonts w:eastAsia="Times New Roman" w:cs="Calibri"/>
                <w:color w:val="000000"/>
                <w:sz w:val="20"/>
                <w:szCs w:val="20"/>
                <w:lang w:val="en-US"/>
              </w:rPr>
            </w:pPr>
            <w:r w:rsidRPr="00A43E13">
              <w:rPr>
                <w:rFonts w:eastAsia="Times New Roman" w:cs="Calibri"/>
                <w:color w:val="000000"/>
                <w:sz w:val="20"/>
                <w:szCs w:val="20"/>
                <w:lang w:val="en-US"/>
              </w:rPr>
              <w:t>Аналитични специалисти</w:t>
            </w:r>
          </w:p>
        </w:tc>
        <w:tc>
          <w:tcPr>
            <w:tcW w:w="980" w:type="dxa"/>
            <w:tcBorders>
              <w:top w:val="nil"/>
              <w:left w:val="nil"/>
              <w:bottom w:val="double" w:sz="6" w:space="0" w:color="E26B0A"/>
              <w:right w:val="double" w:sz="6" w:space="0" w:color="E26B0A"/>
            </w:tcBorders>
            <w:shd w:val="clear" w:color="000000" w:fill="FDE9D9"/>
            <w:vAlign w:val="center"/>
            <w:hideMark/>
          </w:tcPr>
          <w:p w14:paraId="453A0D3B" w14:textId="77777777" w:rsidR="00A43E13" w:rsidRPr="00A43E13" w:rsidRDefault="00A43E13" w:rsidP="00A43E13">
            <w:pPr>
              <w:jc w:val="center"/>
              <w:rPr>
                <w:rFonts w:eastAsia="Times New Roman" w:cs="Calibri"/>
                <w:sz w:val="20"/>
                <w:szCs w:val="20"/>
                <w:lang w:val="en-US"/>
              </w:rPr>
            </w:pPr>
            <w:r w:rsidRPr="00A43E13">
              <w:rPr>
                <w:rFonts w:eastAsia="Times New Roman" w:cs="Calibri"/>
                <w:sz w:val="20"/>
                <w:szCs w:val="20"/>
                <w:lang w:val="en-US"/>
              </w:rPr>
              <w:t>29,47</w:t>
            </w:r>
          </w:p>
        </w:tc>
        <w:tc>
          <w:tcPr>
            <w:tcW w:w="980" w:type="dxa"/>
            <w:tcBorders>
              <w:top w:val="nil"/>
              <w:left w:val="nil"/>
              <w:bottom w:val="double" w:sz="6" w:space="0" w:color="E26B0A"/>
              <w:right w:val="double" w:sz="6" w:space="0" w:color="E26B0A"/>
            </w:tcBorders>
            <w:shd w:val="clear" w:color="000000" w:fill="FDE9D9"/>
            <w:vAlign w:val="center"/>
            <w:hideMark/>
          </w:tcPr>
          <w:p w14:paraId="5F1A6F38" w14:textId="77777777" w:rsidR="00A43E13" w:rsidRPr="00A43E13" w:rsidRDefault="00A43E13" w:rsidP="00A43E13">
            <w:pPr>
              <w:jc w:val="center"/>
              <w:rPr>
                <w:rFonts w:eastAsia="Times New Roman" w:cs="Calibri"/>
                <w:sz w:val="20"/>
                <w:szCs w:val="20"/>
                <w:lang w:val="en-US"/>
              </w:rPr>
            </w:pPr>
            <w:r w:rsidRPr="00A43E13">
              <w:rPr>
                <w:rFonts w:eastAsia="Times New Roman" w:cs="Calibri"/>
                <w:sz w:val="20"/>
                <w:szCs w:val="20"/>
                <w:lang w:val="en-US"/>
              </w:rPr>
              <w:t>30,21</w:t>
            </w:r>
          </w:p>
        </w:tc>
      </w:tr>
      <w:tr w:rsidR="00A43E13" w:rsidRPr="00A43E13" w14:paraId="6DAF45EA" w14:textId="77777777" w:rsidTr="00A43E13">
        <w:trPr>
          <w:trHeight w:val="300"/>
        </w:trPr>
        <w:tc>
          <w:tcPr>
            <w:tcW w:w="6640" w:type="dxa"/>
            <w:tcBorders>
              <w:top w:val="nil"/>
              <w:left w:val="double" w:sz="6" w:space="0" w:color="E26B0A"/>
              <w:bottom w:val="double" w:sz="6" w:space="0" w:color="E26B0A"/>
              <w:right w:val="double" w:sz="6" w:space="0" w:color="E26B0A"/>
            </w:tcBorders>
            <w:shd w:val="clear" w:color="auto" w:fill="auto"/>
            <w:noWrap/>
            <w:vAlign w:val="bottom"/>
            <w:hideMark/>
          </w:tcPr>
          <w:p w14:paraId="1BDB70EB" w14:textId="77777777" w:rsidR="00A43E13" w:rsidRPr="00A43E13" w:rsidRDefault="00A43E13" w:rsidP="00A43E13">
            <w:pPr>
              <w:rPr>
                <w:rFonts w:eastAsia="Times New Roman" w:cs="Calibri"/>
                <w:color w:val="000000"/>
                <w:sz w:val="20"/>
                <w:szCs w:val="20"/>
                <w:lang w:val="en-US"/>
              </w:rPr>
            </w:pPr>
            <w:r w:rsidRPr="00A43E13">
              <w:rPr>
                <w:rFonts w:eastAsia="Times New Roman" w:cs="Calibri"/>
                <w:color w:val="000000"/>
                <w:sz w:val="20"/>
                <w:szCs w:val="20"/>
                <w:lang w:val="en-US"/>
              </w:rPr>
              <w:t>Приложни специалисти</w:t>
            </w:r>
          </w:p>
        </w:tc>
        <w:tc>
          <w:tcPr>
            <w:tcW w:w="980" w:type="dxa"/>
            <w:tcBorders>
              <w:top w:val="nil"/>
              <w:left w:val="nil"/>
              <w:bottom w:val="double" w:sz="6" w:space="0" w:color="E26B0A"/>
              <w:right w:val="double" w:sz="6" w:space="0" w:color="E26B0A"/>
            </w:tcBorders>
            <w:shd w:val="clear" w:color="000000" w:fill="FDE9D9"/>
            <w:vAlign w:val="center"/>
            <w:hideMark/>
          </w:tcPr>
          <w:p w14:paraId="4C87A8C8" w14:textId="77777777" w:rsidR="00A43E13" w:rsidRPr="00A43E13" w:rsidRDefault="00A43E13" w:rsidP="00A43E13">
            <w:pPr>
              <w:jc w:val="center"/>
              <w:rPr>
                <w:rFonts w:eastAsia="Times New Roman" w:cs="Calibri"/>
                <w:sz w:val="20"/>
                <w:szCs w:val="20"/>
                <w:lang w:val="en-US"/>
              </w:rPr>
            </w:pPr>
            <w:r w:rsidRPr="00A43E13">
              <w:rPr>
                <w:rFonts w:eastAsia="Times New Roman" w:cs="Calibri"/>
                <w:sz w:val="20"/>
                <w:szCs w:val="20"/>
                <w:lang w:val="en-US"/>
              </w:rPr>
              <w:t>5,43</w:t>
            </w:r>
          </w:p>
        </w:tc>
        <w:tc>
          <w:tcPr>
            <w:tcW w:w="980" w:type="dxa"/>
            <w:tcBorders>
              <w:top w:val="nil"/>
              <w:left w:val="nil"/>
              <w:bottom w:val="double" w:sz="6" w:space="0" w:color="E26B0A"/>
              <w:right w:val="double" w:sz="6" w:space="0" w:color="E26B0A"/>
            </w:tcBorders>
            <w:shd w:val="clear" w:color="000000" w:fill="FDE9D9"/>
            <w:vAlign w:val="center"/>
            <w:hideMark/>
          </w:tcPr>
          <w:p w14:paraId="0B62F074" w14:textId="77777777" w:rsidR="00A43E13" w:rsidRPr="00A43E13" w:rsidRDefault="00A43E13" w:rsidP="00A43E13">
            <w:pPr>
              <w:jc w:val="center"/>
              <w:rPr>
                <w:rFonts w:eastAsia="Times New Roman" w:cs="Calibri"/>
                <w:sz w:val="20"/>
                <w:szCs w:val="20"/>
                <w:lang w:val="en-US"/>
              </w:rPr>
            </w:pPr>
            <w:r w:rsidRPr="00A43E13">
              <w:rPr>
                <w:rFonts w:eastAsia="Times New Roman" w:cs="Calibri"/>
                <w:sz w:val="20"/>
                <w:szCs w:val="20"/>
                <w:lang w:val="en-US"/>
              </w:rPr>
              <w:t>5,52</w:t>
            </w:r>
          </w:p>
        </w:tc>
      </w:tr>
      <w:tr w:rsidR="00A43E13" w:rsidRPr="00A43E13" w14:paraId="7B41C7D1" w14:textId="77777777" w:rsidTr="00A43E13">
        <w:trPr>
          <w:trHeight w:val="300"/>
        </w:trPr>
        <w:tc>
          <w:tcPr>
            <w:tcW w:w="6640" w:type="dxa"/>
            <w:tcBorders>
              <w:top w:val="nil"/>
              <w:left w:val="double" w:sz="6" w:space="0" w:color="E26B0A"/>
              <w:bottom w:val="double" w:sz="6" w:space="0" w:color="E26B0A"/>
              <w:right w:val="double" w:sz="6" w:space="0" w:color="E26B0A"/>
            </w:tcBorders>
            <w:shd w:val="clear" w:color="auto" w:fill="auto"/>
            <w:noWrap/>
            <w:vAlign w:val="bottom"/>
            <w:hideMark/>
          </w:tcPr>
          <w:p w14:paraId="781A0F8D" w14:textId="77777777" w:rsidR="00A43E13" w:rsidRPr="00A43E13" w:rsidRDefault="00A43E13" w:rsidP="00A43E13">
            <w:pPr>
              <w:rPr>
                <w:rFonts w:eastAsia="Times New Roman" w:cs="Calibri"/>
                <w:color w:val="000000"/>
                <w:sz w:val="20"/>
                <w:szCs w:val="20"/>
                <w:lang w:val="en-US"/>
              </w:rPr>
            </w:pPr>
            <w:r w:rsidRPr="00A43E13">
              <w:rPr>
                <w:rFonts w:eastAsia="Times New Roman" w:cs="Calibri"/>
                <w:color w:val="000000"/>
                <w:sz w:val="20"/>
                <w:szCs w:val="20"/>
                <w:lang w:val="en-US"/>
              </w:rPr>
              <w:t>Помощен персонал</w:t>
            </w:r>
          </w:p>
        </w:tc>
        <w:tc>
          <w:tcPr>
            <w:tcW w:w="980" w:type="dxa"/>
            <w:tcBorders>
              <w:top w:val="nil"/>
              <w:left w:val="nil"/>
              <w:bottom w:val="double" w:sz="6" w:space="0" w:color="E26B0A"/>
              <w:right w:val="double" w:sz="6" w:space="0" w:color="E26B0A"/>
            </w:tcBorders>
            <w:shd w:val="clear" w:color="000000" w:fill="FDE9D9"/>
            <w:vAlign w:val="center"/>
            <w:hideMark/>
          </w:tcPr>
          <w:p w14:paraId="1AD383A5" w14:textId="77777777" w:rsidR="00A43E13" w:rsidRPr="00A43E13" w:rsidRDefault="00A43E13" w:rsidP="00A43E13">
            <w:pPr>
              <w:jc w:val="center"/>
              <w:rPr>
                <w:rFonts w:eastAsia="Times New Roman" w:cs="Calibri"/>
                <w:sz w:val="20"/>
                <w:szCs w:val="20"/>
                <w:lang w:val="en-US"/>
              </w:rPr>
            </w:pPr>
            <w:r w:rsidRPr="00A43E13">
              <w:rPr>
                <w:rFonts w:eastAsia="Times New Roman" w:cs="Calibri"/>
                <w:sz w:val="20"/>
                <w:szCs w:val="20"/>
                <w:lang w:val="en-US"/>
              </w:rPr>
              <w:t>9,52</w:t>
            </w:r>
          </w:p>
        </w:tc>
        <w:tc>
          <w:tcPr>
            <w:tcW w:w="980" w:type="dxa"/>
            <w:tcBorders>
              <w:top w:val="nil"/>
              <w:left w:val="nil"/>
              <w:bottom w:val="double" w:sz="6" w:space="0" w:color="E26B0A"/>
              <w:right w:val="double" w:sz="6" w:space="0" w:color="E26B0A"/>
            </w:tcBorders>
            <w:shd w:val="clear" w:color="000000" w:fill="FDE9D9"/>
            <w:vAlign w:val="center"/>
            <w:hideMark/>
          </w:tcPr>
          <w:p w14:paraId="3F6E0850" w14:textId="77777777" w:rsidR="00A43E13" w:rsidRPr="00A43E13" w:rsidRDefault="00A43E13" w:rsidP="00A43E13">
            <w:pPr>
              <w:jc w:val="center"/>
              <w:rPr>
                <w:rFonts w:eastAsia="Times New Roman" w:cs="Calibri"/>
                <w:sz w:val="20"/>
                <w:szCs w:val="20"/>
                <w:lang w:val="en-US"/>
              </w:rPr>
            </w:pPr>
            <w:r w:rsidRPr="00A43E13">
              <w:rPr>
                <w:rFonts w:eastAsia="Times New Roman" w:cs="Calibri"/>
                <w:sz w:val="20"/>
                <w:szCs w:val="20"/>
                <w:lang w:val="en-US"/>
              </w:rPr>
              <w:t>7,82</w:t>
            </w:r>
          </w:p>
        </w:tc>
      </w:tr>
      <w:tr w:rsidR="00A43E13" w:rsidRPr="00A43E13" w14:paraId="303AA117" w14:textId="77777777" w:rsidTr="00A43E13">
        <w:trPr>
          <w:trHeight w:val="300"/>
        </w:trPr>
        <w:tc>
          <w:tcPr>
            <w:tcW w:w="6640" w:type="dxa"/>
            <w:tcBorders>
              <w:top w:val="nil"/>
              <w:left w:val="double" w:sz="6" w:space="0" w:color="E26B0A"/>
              <w:bottom w:val="double" w:sz="6" w:space="0" w:color="E26B0A"/>
              <w:right w:val="double" w:sz="6" w:space="0" w:color="E26B0A"/>
            </w:tcBorders>
            <w:shd w:val="clear" w:color="auto" w:fill="auto"/>
            <w:vAlign w:val="bottom"/>
            <w:hideMark/>
          </w:tcPr>
          <w:p w14:paraId="259B8634" w14:textId="77777777" w:rsidR="00A43E13" w:rsidRPr="00A43E13" w:rsidRDefault="00A43E13" w:rsidP="00A43E13">
            <w:pPr>
              <w:rPr>
                <w:rFonts w:eastAsia="Times New Roman" w:cs="Calibri"/>
                <w:color w:val="000000"/>
                <w:sz w:val="20"/>
                <w:szCs w:val="20"/>
                <w:lang w:val="en-US"/>
              </w:rPr>
            </w:pPr>
            <w:r w:rsidRPr="00A43E13">
              <w:rPr>
                <w:rFonts w:eastAsia="Times New Roman" w:cs="Calibri"/>
                <w:color w:val="000000"/>
                <w:sz w:val="20"/>
                <w:szCs w:val="20"/>
                <w:lang w:val="en-US"/>
              </w:rPr>
              <w:t>Персонал зает  с услуги/оператори на машини</w:t>
            </w:r>
          </w:p>
        </w:tc>
        <w:tc>
          <w:tcPr>
            <w:tcW w:w="980" w:type="dxa"/>
            <w:tcBorders>
              <w:top w:val="nil"/>
              <w:left w:val="nil"/>
              <w:bottom w:val="double" w:sz="6" w:space="0" w:color="E26B0A"/>
              <w:right w:val="double" w:sz="6" w:space="0" w:color="E26B0A"/>
            </w:tcBorders>
            <w:shd w:val="clear" w:color="000000" w:fill="FDE9D9"/>
            <w:vAlign w:val="center"/>
            <w:hideMark/>
          </w:tcPr>
          <w:p w14:paraId="5A78344F" w14:textId="77777777" w:rsidR="00A43E13" w:rsidRPr="00A43E13" w:rsidRDefault="00A43E13" w:rsidP="00A43E13">
            <w:pPr>
              <w:jc w:val="center"/>
              <w:rPr>
                <w:rFonts w:eastAsia="Times New Roman" w:cs="Calibri"/>
                <w:sz w:val="20"/>
                <w:szCs w:val="20"/>
                <w:lang w:val="en-US"/>
              </w:rPr>
            </w:pPr>
            <w:r w:rsidRPr="00A43E13">
              <w:rPr>
                <w:rFonts w:eastAsia="Times New Roman" w:cs="Calibri"/>
                <w:sz w:val="20"/>
                <w:szCs w:val="20"/>
                <w:lang w:val="en-US"/>
              </w:rPr>
              <w:t>1</w:t>
            </w:r>
          </w:p>
        </w:tc>
        <w:tc>
          <w:tcPr>
            <w:tcW w:w="980" w:type="dxa"/>
            <w:tcBorders>
              <w:top w:val="nil"/>
              <w:left w:val="nil"/>
              <w:bottom w:val="double" w:sz="6" w:space="0" w:color="E26B0A"/>
              <w:right w:val="double" w:sz="6" w:space="0" w:color="E26B0A"/>
            </w:tcBorders>
            <w:shd w:val="clear" w:color="000000" w:fill="FDE9D9"/>
            <w:vAlign w:val="center"/>
            <w:hideMark/>
          </w:tcPr>
          <w:p w14:paraId="507B961C" w14:textId="77777777" w:rsidR="00A43E13" w:rsidRPr="00A43E13" w:rsidRDefault="00A43E13" w:rsidP="00A43E13">
            <w:pPr>
              <w:jc w:val="center"/>
              <w:rPr>
                <w:rFonts w:eastAsia="Times New Roman" w:cs="Calibri"/>
                <w:sz w:val="20"/>
                <w:szCs w:val="20"/>
                <w:lang w:val="en-US"/>
              </w:rPr>
            </w:pPr>
            <w:r w:rsidRPr="00A43E13">
              <w:rPr>
                <w:rFonts w:eastAsia="Times New Roman" w:cs="Calibri"/>
                <w:sz w:val="20"/>
                <w:szCs w:val="20"/>
                <w:lang w:val="en-US"/>
              </w:rPr>
              <w:t>1</w:t>
            </w:r>
          </w:p>
        </w:tc>
      </w:tr>
      <w:tr w:rsidR="00A43E13" w:rsidRPr="00A43E13" w14:paraId="11094DCD" w14:textId="77777777" w:rsidTr="00A43E13">
        <w:trPr>
          <w:trHeight w:val="293"/>
        </w:trPr>
        <w:tc>
          <w:tcPr>
            <w:tcW w:w="6640" w:type="dxa"/>
            <w:tcBorders>
              <w:top w:val="nil"/>
              <w:left w:val="double" w:sz="6" w:space="0" w:color="E26B0A"/>
              <w:bottom w:val="double" w:sz="6" w:space="0" w:color="E26B0A"/>
              <w:right w:val="double" w:sz="6" w:space="0" w:color="E26B0A"/>
            </w:tcBorders>
            <w:shd w:val="clear" w:color="auto" w:fill="auto"/>
            <w:vAlign w:val="bottom"/>
            <w:hideMark/>
          </w:tcPr>
          <w:p w14:paraId="5442BEEE" w14:textId="77777777" w:rsidR="00A43E13" w:rsidRPr="00A43E13" w:rsidRDefault="00A43E13" w:rsidP="00A43E13">
            <w:pPr>
              <w:rPr>
                <w:rFonts w:eastAsia="Times New Roman" w:cs="Calibri"/>
                <w:color w:val="000000"/>
                <w:sz w:val="20"/>
                <w:szCs w:val="20"/>
                <w:lang w:val="en-US"/>
              </w:rPr>
            </w:pPr>
            <w:r w:rsidRPr="00A43E13">
              <w:rPr>
                <w:rFonts w:eastAsia="Times New Roman" w:cs="Calibri"/>
                <w:color w:val="000000"/>
                <w:sz w:val="20"/>
                <w:szCs w:val="20"/>
                <w:lang w:val="en-US"/>
              </w:rPr>
              <w:t>Нискоквалифицирани работници</w:t>
            </w:r>
          </w:p>
        </w:tc>
        <w:tc>
          <w:tcPr>
            <w:tcW w:w="980" w:type="dxa"/>
            <w:tcBorders>
              <w:top w:val="nil"/>
              <w:left w:val="nil"/>
              <w:bottom w:val="double" w:sz="6" w:space="0" w:color="E26B0A"/>
              <w:right w:val="double" w:sz="6" w:space="0" w:color="E26B0A"/>
            </w:tcBorders>
            <w:shd w:val="clear" w:color="000000" w:fill="FDE9D9"/>
            <w:vAlign w:val="center"/>
            <w:hideMark/>
          </w:tcPr>
          <w:p w14:paraId="1FA3868E" w14:textId="77777777" w:rsidR="00A43E13" w:rsidRPr="00A43E13" w:rsidRDefault="00A43E13" w:rsidP="00A43E13">
            <w:pPr>
              <w:jc w:val="center"/>
              <w:rPr>
                <w:rFonts w:eastAsia="Times New Roman" w:cs="Calibri"/>
                <w:sz w:val="20"/>
                <w:szCs w:val="20"/>
                <w:lang w:val="en-US"/>
              </w:rPr>
            </w:pPr>
            <w:r w:rsidRPr="00A43E13">
              <w:rPr>
                <w:rFonts w:eastAsia="Times New Roman" w:cs="Calibri"/>
                <w:sz w:val="20"/>
                <w:szCs w:val="20"/>
                <w:lang w:val="en-US"/>
              </w:rPr>
              <w:t>0,13</w:t>
            </w:r>
          </w:p>
        </w:tc>
        <w:tc>
          <w:tcPr>
            <w:tcW w:w="980" w:type="dxa"/>
            <w:tcBorders>
              <w:top w:val="nil"/>
              <w:left w:val="nil"/>
              <w:bottom w:val="double" w:sz="6" w:space="0" w:color="E26B0A"/>
              <w:right w:val="double" w:sz="6" w:space="0" w:color="E26B0A"/>
            </w:tcBorders>
            <w:shd w:val="clear" w:color="000000" w:fill="FDE9D9"/>
            <w:vAlign w:val="center"/>
            <w:hideMark/>
          </w:tcPr>
          <w:p w14:paraId="5F6DC41C" w14:textId="77777777" w:rsidR="00A43E13" w:rsidRPr="00A43E13" w:rsidRDefault="00A43E13" w:rsidP="00A43E13">
            <w:pPr>
              <w:jc w:val="center"/>
              <w:rPr>
                <w:rFonts w:eastAsia="Times New Roman" w:cs="Calibri"/>
                <w:sz w:val="20"/>
                <w:szCs w:val="20"/>
                <w:lang w:val="en-US"/>
              </w:rPr>
            </w:pPr>
            <w:r w:rsidRPr="00A43E13">
              <w:rPr>
                <w:rFonts w:eastAsia="Times New Roman" w:cs="Calibri"/>
                <w:sz w:val="20"/>
                <w:szCs w:val="20"/>
                <w:lang w:val="en-US"/>
              </w:rPr>
              <w:t>1</w:t>
            </w:r>
          </w:p>
        </w:tc>
      </w:tr>
    </w:tbl>
    <w:p w14:paraId="2C2A6232" w14:textId="0B3BDB49" w:rsidR="00C96078" w:rsidRDefault="00C96078" w:rsidP="00D92723">
      <w:pPr>
        <w:ind w:left="993"/>
        <w:rPr>
          <w:b/>
          <w:color w:val="FF0000"/>
        </w:rPr>
      </w:pPr>
    </w:p>
    <w:p w14:paraId="31270881" w14:textId="60849ACF" w:rsidR="00A43E13" w:rsidRDefault="00A43E13" w:rsidP="00D92723">
      <w:pPr>
        <w:ind w:left="993"/>
        <w:rPr>
          <w:b/>
          <w:color w:val="FF0000"/>
        </w:rPr>
      </w:pPr>
      <w:r>
        <w:rPr>
          <w:noProof/>
          <w:lang w:eastAsia="bg-BG"/>
        </w:rPr>
        <w:drawing>
          <wp:inline distT="0" distB="0" distL="0" distR="0" wp14:anchorId="5A33E02C" wp14:editId="63A7E635">
            <wp:extent cx="4796790" cy="3017520"/>
            <wp:effectExtent l="57150" t="0" r="60960" b="106680"/>
            <wp:docPr id="21" name="Chart 2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24CB90F-9F81-4C77-AC0D-854BB83EBED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1B3438C" w14:textId="77777777" w:rsidR="00DD107E" w:rsidRPr="00A85C03" w:rsidRDefault="00DD107E" w:rsidP="00DD107E">
      <w:pPr>
        <w:ind w:left="993"/>
        <w:rPr>
          <w:b/>
          <w:color w:val="FF0000"/>
        </w:rPr>
      </w:pPr>
    </w:p>
    <w:p w14:paraId="05335331" w14:textId="77777777" w:rsidR="00D92723" w:rsidRPr="00A85C03" w:rsidRDefault="00D92723" w:rsidP="00DD107E">
      <w:pPr>
        <w:ind w:left="993"/>
        <w:rPr>
          <w:b/>
          <w:color w:val="FF0000"/>
        </w:rPr>
      </w:pPr>
    </w:p>
    <w:p w14:paraId="1D0B1FB2" w14:textId="640A32BC" w:rsidR="00382855" w:rsidRDefault="00382855" w:rsidP="002228B1">
      <w:pPr>
        <w:numPr>
          <w:ilvl w:val="0"/>
          <w:numId w:val="6"/>
        </w:numPr>
        <w:ind w:left="993" w:hanging="284"/>
        <w:rPr>
          <w:b/>
        </w:rPr>
      </w:pPr>
      <w:r w:rsidRPr="0075437F">
        <w:rPr>
          <w:b/>
        </w:rPr>
        <w:t>Производителност на труда:</w:t>
      </w:r>
    </w:p>
    <w:p w14:paraId="76494BA2" w14:textId="74E770EC" w:rsidR="00435274" w:rsidRDefault="00435274" w:rsidP="00435274">
      <w:pPr>
        <w:rPr>
          <w:b/>
        </w:rPr>
      </w:pPr>
    </w:p>
    <w:tbl>
      <w:tblPr>
        <w:tblW w:w="8647" w:type="dxa"/>
        <w:tblLook w:val="04A0" w:firstRow="1" w:lastRow="0" w:firstColumn="1" w:lastColumn="0" w:noHBand="0" w:noVBand="1"/>
      </w:tblPr>
      <w:tblGrid>
        <w:gridCol w:w="4700"/>
        <w:gridCol w:w="2104"/>
        <w:gridCol w:w="1843"/>
      </w:tblGrid>
      <w:tr w:rsidR="00545500" w:rsidRPr="00545500" w14:paraId="3C8E5366" w14:textId="77777777" w:rsidTr="00C74984">
        <w:trPr>
          <w:trHeight w:val="270"/>
        </w:trPr>
        <w:tc>
          <w:tcPr>
            <w:tcW w:w="4700" w:type="dxa"/>
            <w:tcBorders>
              <w:top w:val="nil"/>
              <w:left w:val="nil"/>
              <w:bottom w:val="nil"/>
              <w:right w:val="nil"/>
            </w:tcBorders>
            <w:shd w:val="clear" w:color="auto" w:fill="auto"/>
            <w:noWrap/>
            <w:vAlign w:val="bottom"/>
            <w:hideMark/>
          </w:tcPr>
          <w:p w14:paraId="47AC92DD" w14:textId="77777777" w:rsidR="00545500" w:rsidRPr="00545500" w:rsidRDefault="00545500" w:rsidP="00545500">
            <w:pPr>
              <w:rPr>
                <w:rFonts w:ascii="Times New Roman" w:eastAsia="Times New Roman" w:hAnsi="Times New Roman"/>
                <w:sz w:val="20"/>
                <w:szCs w:val="20"/>
                <w:lang w:val="en-US"/>
              </w:rPr>
            </w:pPr>
          </w:p>
        </w:tc>
        <w:tc>
          <w:tcPr>
            <w:tcW w:w="2104" w:type="dxa"/>
            <w:tcBorders>
              <w:top w:val="nil"/>
              <w:left w:val="nil"/>
              <w:bottom w:val="nil"/>
              <w:right w:val="nil"/>
            </w:tcBorders>
            <w:shd w:val="clear" w:color="auto" w:fill="auto"/>
            <w:noWrap/>
            <w:vAlign w:val="bottom"/>
            <w:hideMark/>
          </w:tcPr>
          <w:p w14:paraId="428AF217" w14:textId="77777777" w:rsidR="00545500" w:rsidRPr="00545500" w:rsidRDefault="00545500" w:rsidP="00545500">
            <w:pPr>
              <w:rPr>
                <w:rFonts w:ascii="Times New Roman" w:eastAsia="Times New Roman" w:hAnsi="Times New Roman"/>
                <w:sz w:val="20"/>
                <w:szCs w:val="20"/>
                <w:lang w:val="en-US"/>
              </w:rPr>
            </w:pPr>
          </w:p>
        </w:tc>
        <w:tc>
          <w:tcPr>
            <w:tcW w:w="1843" w:type="dxa"/>
            <w:tcBorders>
              <w:top w:val="nil"/>
              <w:left w:val="nil"/>
              <w:bottom w:val="nil"/>
              <w:right w:val="nil"/>
            </w:tcBorders>
            <w:shd w:val="clear" w:color="auto" w:fill="auto"/>
            <w:noWrap/>
            <w:vAlign w:val="bottom"/>
            <w:hideMark/>
          </w:tcPr>
          <w:p w14:paraId="677632F8" w14:textId="77777777" w:rsidR="00545500" w:rsidRPr="00545500" w:rsidRDefault="00545500" w:rsidP="00545500">
            <w:pPr>
              <w:jc w:val="right"/>
              <w:rPr>
                <w:rFonts w:eastAsia="Times New Roman" w:cs="Calibri"/>
                <w:i/>
                <w:iCs/>
                <w:sz w:val="20"/>
                <w:szCs w:val="20"/>
                <w:lang w:val="en-US"/>
              </w:rPr>
            </w:pPr>
            <w:r w:rsidRPr="00545500">
              <w:rPr>
                <w:rFonts w:eastAsia="Times New Roman" w:cs="Calibri"/>
                <w:i/>
                <w:iCs/>
                <w:sz w:val="20"/>
                <w:szCs w:val="20"/>
                <w:lang w:val="en-US"/>
              </w:rPr>
              <w:t>(лева)</w:t>
            </w:r>
          </w:p>
        </w:tc>
      </w:tr>
      <w:tr w:rsidR="00545500" w:rsidRPr="00545500" w14:paraId="2B37E1DC" w14:textId="77777777" w:rsidTr="00C74984">
        <w:trPr>
          <w:trHeight w:val="312"/>
        </w:trPr>
        <w:tc>
          <w:tcPr>
            <w:tcW w:w="8647" w:type="dxa"/>
            <w:gridSpan w:val="3"/>
            <w:tcBorders>
              <w:top w:val="double" w:sz="6" w:space="0" w:color="E26B0A"/>
              <w:left w:val="double" w:sz="6" w:space="0" w:color="E26B0A"/>
              <w:bottom w:val="double" w:sz="6" w:space="0" w:color="E26B0A"/>
              <w:right w:val="double" w:sz="6" w:space="0" w:color="E26B0A"/>
            </w:tcBorders>
            <w:shd w:val="clear" w:color="000000" w:fill="E26B0A"/>
            <w:noWrap/>
            <w:vAlign w:val="bottom"/>
            <w:hideMark/>
          </w:tcPr>
          <w:p w14:paraId="3B223AD5" w14:textId="77777777" w:rsidR="00545500" w:rsidRPr="00545500" w:rsidRDefault="00545500" w:rsidP="00545500">
            <w:pPr>
              <w:jc w:val="center"/>
              <w:rPr>
                <w:rFonts w:eastAsia="Times New Roman" w:cs="Calibri"/>
                <w:b/>
                <w:bCs/>
                <w:color w:val="FFFFFF"/>
                <w:lang w:val="en-US"/>
              </w:rPr>
            </w:pPr>
            <w:r w:rsidRPr="00545500">
              <w:rPr>
                <w:rFonts w:eastAsia="Times New Roman" w:cs="Calibri"/>
                <w:b/>
                <w:bCs/>
                <w:color w:val="FFFFFF"/>
                <w:lang w:val="en-US"/>
              </w:rPr>
              <w:t xml:space="preserve">Производителност на труда </w:t>
            </w:r>
          </w:p>
        </w:tc>
      </w:tr>
      <w:tr w:rsidR="00545500" w:rsidRPr="00545500" w14:paraId="50BA01D0" w14:textId="77777777" w:rsidTr="00C74984">
        <w:trPr>
          <w:trHeight w:val="300"/>
        </w:trPr>
        <w:tc>
          <w:tcPr>
            <w:tcW w:w="4700" w:type="dxa"/>
            <w:tcBorders>
              <w:top w:val="nil"/>
              <w:left w:val="double" w:sz="6" w:space="0" w:color="E26B0A"/>
              <w:bottom w:val="double" w:sz="6" w:space="0" w:color="E26B0A"/>
              <w:right w:val="double" w:sz="6" w:space="0" w:color="E26B0A"/>
            </w:tcBorders>
            <w:shd w:val="clear" w:color="auto" w:fill="auto"/>
            <w:noWrap/>
            <w:vAlign w:val="bottom"/>
            <w:hideMark/>
          </w:tcPr>
          <w:p w14:paraId="19E07EA7" w14:textId="77777777" w:rsidR="00545500" w:rsidRPr="00545500" w:rsidRDefault="00545500" w:rsidP="00545500">
            <w:pPr>
              <w:rPr>
                <w:rFonts w:eastAsia="Times New Roman" w:cs="Calibri"/>
                <w:sz w:val="20"/>
                <w:szCs w:val="20"/>
                <w:lang w:val="en-US"/>
              </w:rPr>
            </w:pPr>
            <w:r w:rsidRPr="00545500">
              <w:rPr>
                <w:rFonts w:eastAsia="Times New Roman" w:cs="Calibri"/>
                <w:sz w:val="20"/>
                <w:szCs w:val="20"/>
                <w:lang w:val="en-US"/>
              </w:rPr>
              <w:t>Години</w:t>
            </w:r>
          </w:p>
        </w:tc>
        <w:tc>
          <w:tcPr>
            <w:tcW w:w="2104"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54679C51" w14:textId="77777777" w:rsidR="00545500" w:rsidRPr="00545500" w:rsidRDefault="00545500" w:rsidP="00545500">
            <w:pPr>
              <w:jc w:val="center"/>
              <w:rPr>
                <w:rFonts w:eastAsia="Times New Roman" w:cs="Calibri"/>
                <w:b/>
                <w:bCs/>
                <w:sz w:val="20"/>
                <w:szCs w:val="20"/>
                <w:lang w:val="en-US"/>
              </w:rPr>
            </w:pPr>
            <w:r w:rsidRPr="00545500">
              <w:rPr>
                <w:rFonts w:eastAsia="Times New Roman" w:cs="Calibri"/>
                <w:b/>
                <w:bCs/>
                <w:sz w:val="20"/>
                <w:szCs w:val="20"/>
                <w:lang w:val="en-US"/>
              </w:rPr>
              <w:t>2021</w:t>
            </w:r>
          </w:p>
        </w:tc>
        <w:tc>
          <w:tcPr>
            <w:tcW w:w="1843" w:type="dxa"/>
            <w:tcBorders>
              <w:top w:val="single" w:sz="4" w:space="0" w:color="auto"/>
              <w:left w:val="nil"/>
              <w:bottom w:val="single" w:sz="4" w:space="0" w:color="auto"/>
              <w:right w:val="single" w:sz="4" w:space="0" w:color="auto"/>
            </w:tcBorders>
            <w:shd w:val="clear" w:color="000000" w:fill="FDE9D9"/>
            <w:noWrap/>
            <w:vAlign w:val="bottom"/>
            <w:hideMark/>
          </w:tcPr>
          <w:p w14:paraId="25E4AC7D" w14:textId="77777777" w:rsidR="00545500" w:rsidRPr="00545500" w:rsidRDefault="00545500" w:rsidP="00545500">
            <w:pPr>
              <w:jc w:val="center"/>
              <w:rPr>
                <w:rFonts w:eastAsia="Times New Roman" w:cs="Calibri"/>
                <w:b/>
                <w:bCs/>
                <w:sz w:val="20"/>
                <w:szCs w:val="20"/>
                <w:lang w:val="en-US"/>
              </w:rPr>
            </w:pPr>
            <w:r w:rsidRPr="00545500">
              <w:rPr>
                <w:rFonts w:eastAsia="Times New Roman" w:cs="Calibri"/>
                <w:b/>
                <w:bCs/>
                <w:sz w:val="20"/>
                <w:szCs w:val="20"/>
                <w:lang w:val="en-US"/>
              </w:rPr>
              <w:t>2020</w:t>
            </w:r>
          </w:p>
        </w:tc>
      </w:tr>
      <w:tr w:rsidR="00545500" w:rsidRPr="00545500" w14:paraId="57BFD615" w14:textId="77777777" w:rsidTr="00C74984">
        <w:trPr>
          <w:trHeight w:val="300"/>
        </w:trPr>
        <w:tc>
          <w:tcPr>
            <w:tcW w:w="4700" w:type="dxa"/>
            <w:tcBorders>
              <w:top w:val="nil"/>
              <w:left w:val="double" w:sz="6" w:space="0" w:color="E26B0A"/>
              <w:bottom w:val="double" w:sz="6" w:space="0" w:color="E26B0A"/>
              <w:right w:val="double" w:sz="6" w:space="0" w:color="E26B0A"/>
            </w:tcBorders>
            <w:shd w:val="clear" w:color="auto" w:fill="auto"/>
            <w:noWrap/>
            <w:vAlign w:val="bottom"/>
            <w:hideMark/>
          </w:tcPr>
          <w:p w14:paraId="0AE47091" w14:textId="77777777" w:rsidR="00545500" w:rsidRPr="00545500" w:rsidRDefault="00545500" w:rsidP="00545500">
            <w:pPr>
              <w:rPr>
                <w:rFonts w:eastAsia="Times New Roman" w:cs="Calibri"/>
                <w:sz w:val="20"/>
                <w:szCs w:val="20"/>
                <w:lang w:val="en-US"/>
              </w:rPr>
            </w:pPr>
            <w:r w:rsidRPr="00545500">
              <w:rPr>
                <w:rFonts w:eastAsia="Times New Roman" w:cs="Calibri"/>
                <w:sz w:val="20"/>
                <w:szCs w:val="20"/>
                <w:lang w:val="en-US"/>
              </w:rPr>
              <w:t>Средносписъчен състав</w:t>
            </w:r>
          </w:p>
        </w:tc>
        <w:tc>
          <w:tcPr>
            <w:tcW w:w="2104" w:type="dxa"/>
            <w:tcBorders>
              <w:top w:val="double" w:sz="6" w:space="0" w:color="E26B0A"/>
              <w:left w:val="nil"/>
              <w:bottom w:val="double" w:sz="6" w:space="0" w:color="E26B0A"/>
              <w:right w:val="double" w:sz="6" w:space="0" w:color="E26B0A"/>
            </w:tcBorders>
            <w:shd w:val="clear" w:color="000000" w:fill="FCD5B4"/>
            <w:noWrap/>
            <w:vAlign w:val="bottom"/>
            <w:hideMark/>
          </w:tcPr>
          <w:p w14:paraId="78BF22A5" w14:textId="77777777" w:rsidR="00545500" w:rsidRPr="00545500" w:rsidRDefault="00545500" w:rsidP="00545500">
            <w:pPr>
              <w:jc w:val="center"/>
              <w:rPr>
                <w:rFonts w:eastAsia="Times New Roman" w:cs="Calibri"/>
                <w:sz w:val="20"/>
                <w:szCs w:val="20"/>
                <w:lang w:val="en-US"/>
              </w:rPr>
            </w:pPr>
            <w:r w:rsidRPr="00545500">
              <w:rPr>
                <w:rFonts w:eastAsia="Times New Roman" w:cs="Calibri"/>
                <w:sz w:val="20"/>
                <w:szCs w:val="20"/>
                <w:lang w:val="en-US"/>
              </w:rPr>
              <w:t>48,55</w:t>
            </w:r>
          </w:p>
        </w:tc>
        <w:tc>
          <w:tcPr>
            <w:tcW w:w="1843" w:type="dxa"/>
            <w:tcBorders>
              <w:top w:val="double" w:sz="6" w:space="0" w:color="E26B0A"/>
              <w:left w:val="nil"/>
              <w:bottom w:val="double" w:sz="6" w:space="0" w:color="E26B0A"/>
              <w:right w:val="double" w:sz="6" w:space="0" w:color="E26B0A"/>
            </w:tcBorders>
            <w:shd w:val="clear" w:color="000000" w:fill="FCD5B4"/>
            <w:noWrap/>
            <w:vAlign w:val="bottom"/>
            <w:hideMark/>
          </w:tcPr>
          <w:p w14:paraId="57A10814" w14:textId="77777777" w:rsidR="00545500" w:rsidRPr="00545500" w:rsidRDefault="00545500" w:rsidP="00545500">
            <w:pPr>
              <w:jc w:val="center"/>
              <w:rPr>
                <w:rFonts w:eastAsia="Times New Roman" w:cs="Calibri"/>
                <w:sz w:val="20"/>
                <w:szCs w:val="20"/>
                <w:lang w:val="en-US"/>
              </w:rPr>
            </w:pPr>
            <w:r w:rsidRPr="00545500">
              <w:rPr>
                <w:rFonts w:eastAsia="Times New Roman" w:cs="Calibri"/>
                <w:sz w:val="20"/>
                <w:szCs w:val="20"/>
                <w:lang w:val="en-US"/>
              </w:rPr>
              <w:t>48,55</w:t>
            </w:r>
          </w:p>
        </w:tc>
      </w:tr>
      <w:tr w:rsidR="00545500" w:rsidRPr="00545500" w14:paraId="636141EE" w14:textId="77777777" w:rsidTr="00C74984">
        <w:trPr>
          <w:trHeight w:val="300"/>
        </w:trPr>
        <w:tc>
          <w:tcPr>
            <w:tcW w:w="4700" w:type="dxa"/>
            <w:tcBorders>
              <w:top w:val="nil"/>
              <w:left w:val="double" w:sz="6" w:space="0" w:color="E26B0A"/>
              <w:bottom w:val="double" w:sz="6" w:space="0" w:color="E26B0A"/>
              <w:right w:val="double" w:sz="6" w:space="0" w:color="E26B0A"/>
            </w:tcBorders>
            <w:shd w:val="clear" w:color="auto" w:fill="auto"/>
            <w:noWrap/>
            <w:vAlign w:val="bottom"/>
            <w:hideMark/>
          </w:tcPr>
          <w:p w14:paraId="7584D644" w14:textId="77777777" w:rsidR="00545500" w:rsidRPr="00545500" w:rsidRDefault="00545500" w:rsidP="00545500">
            <w:pPr>
              <w:rPr>
                <w:rFonts w:eastAsia="Times New Roman" w:cs="Calibri"/>
                <w:sz w:val="20"/>
                <w:szCs w:val="20"/>
                <w:lang w:val="en-US"/>
              </w:rPr>
            </w:pPr>
            <w:r w:rsidRPr="00545500">
              <w:rPr>
                <w:rFonts w:eastAsia="Times New Roman" w:cs="Calibri"/>
                <w:sz w:val="20"/>
                <w:szCs w:val="20"/>
                <w:lang w:val="en-US"/>
              </w:rPr>
              <w:t>Нетни приходи от продажби</w:t>
            </w:r>
          </w:p>
        </w:tc>
        <w:tc>
          <w:tcPr>
            <w:tcW w:w="2104" w:type="dxa"/>
            <w:tcBorders>
              <w:top w:val="nil"/>
              <w:left w:val="nil"/>
              <w:bottom w:val="double" w:sz="6" w:space="0" w:color="E26B0A"/>
              <w:right w:val="double" w:sz="6" w:space="0" w:color="E26B0A"/>
            </w:tcBorders>
            <w:shd w:val="clear" w:color="000000" w:fill="FCD5B4"/>
            <w:noWrap/>
            <w:vAlign w:val="bottom"/>
            <w:hideMark/>
          </w:tcPr>
          <w:p w14:paraId="041CEB76" w14:textId="77777777" w:rsidR="00545500" w:rsidRPr="00545500" w:rsidRDefault="00545500" w:rsidP="00545500">
            <w:pPr>
              <w:jc w:val="center"/>
              <w:rPr>
                <w:rFonts w:eastAsia="Times New Roman" w:cs="Calibri"/>
                <w:sz w:val="20"/>
                <w:szCs w:val="20"/>
                <w:lang w:val="en-US"/>
              </w:rPr>
            </w:pPr>
            <w:r w:rsidRPr="00545500">
              <w:rPr>
                <w:rFonts w:eastAsia="Times New Roman" w:cs="Calibri"/>
                <w:sz w:val="20"/>
                <w:szCs w:val="20"/>
                <w:lang w:val="en-US"/>
              </w:rPr>
              <w:t>2 829 040</w:t>
            </w:r>
          </w:p>
        </w:tc>
        <w:tc>
          <w:tcPr>
            <w:tcW w:w="1843" w:type="dxa"/>
            <w:tcBorders>
              <w:top w:val="nil"/>
              <w:left w:val="nil"/>
              <w:bottom w:val="double" w:sz="6" w:space="0" w:color="E26B0A"/>
              <w:right w:val="double" w:sz="6" w:space="0" w:color="E26B0A"/>
            </w:tcBorders>
            <w:shd w:val="clear" w:color="000000" w:fill="FCD5B4"/>
            <w:noWrap/>
            <w:vAlign w:val="bottom"/>
            <w:hideMark/>
          </w:tcPr>
          <w:p w14:paraId="6481D1FA" w14:textId="77777777" w:rsidR="00545500" w:rsidRPr="00545500" w:rsidRDefault="00545500" w:rsidP="00545500">
            <w:pPr>
              <w:jc w:val="center"/>
              <w:rPr>
                <w:rFonts w:eastAsia="Times New Roman" w:cs="Calibri"/>
                <w:sz w:val="20"/>
                <w:szCs w:val="20"/>
                <w:lang w:val="en-US"/>
              </w:rPr>
            </w:pPr>
            <w:r w:rsidRPr="00545500">
              <w:rPr>
                <w:rFonts w:eastAsia="Times New Roman" w:cs="Calibri"/>
                <w:sz w:val="20"/>
                <w:szCs w:val="20"/>
                <w:lang w:val="en-US"/>
              </w:rPr>
              <w:t>2 328 573</w:t>
            </w:r>
          </w:p>
        </w:tc>
      </w:tr>
      <w:tr w:rsidR="00545500" w:rsidRPr="00545500" w14:paraId="3DF698B4" w14:textId="77777777" w:rsidTr="00C74984">
        <w:trPr>
          <w:trHeight w:val="300"/>
        </w:trPr>
        <w:tc>
          <w:tcPr>
            <w:tcW w:w="4700" w:type="dxa"/>
            <w:tcBorders>
              <w:top w:val="nil"/>
              <w:left w:val="double" w:sz="6" w:space="0" w:color="E26B0A"/>
              <w:bottom w:val="double" w:sz="6" w:space="0" w:color="E26B0A"/>
              <w:right w:val="double" w:sz="6" w:space="0" w:color="E26B0A"/>
            </w:tcBorders>
            <w:shd w:val="clear" w:color="auto" w:fill="auto"/>
            <w:noWrap/>
            <w:vAlign w:val="bottom"/>
            <w:hideMark/>
          </w:tcPr>
          <w:p w14:paraId="252B26B2" w14:textId="77777777" w:rsidR="00545500" w:rsidRPr="00545500" w:rsidRDefault="00545500" w:rsidP="00545500">
            <w:pPr>
              <w:rPr>
                <w:rFonts w:eastAsia="Times New Roman" w:cs="Calibri"/>
                <w:sz w:val="20"/>
                <w:szCs w:val="20"/>
                <w:lang w:val="en-US"/>
              </w:rPr>
            </w:pPr>
            <w:r w:rsidRPr="00545500">
              <w:rPr>
                <w:rFonts w:eastAsia="Times New Roman" w:cs="Calibri"/>
                <w:sz w:val="20"/>
                <w:szCs w:val="20"/>
                <w:lang w:val="en-US"/>
              </w:rPr>
              <w:t xml:space="preserve">Нетни приходи от продажби / 1 лице </w:t>
            </w:r>
          </w:p>
        </w:tc>
        <w:tc>
          <w:tcPr>
            <w:tcW w:w="2104" w:type="dxa"/>
            <w:tcBorders>
              <w:top w:val="nil"/>
              <w:left w:val="nil"/>
              <w:bottom w:val="double" w:sz="6" w:space="0" w:color="E26B0A"/>
              <w:right w:val="double" w:sz="6" w:space="0" w:color="E26B0A"/>
            </w:tcBorders>
            <w:shd w:val="clear" w:color="000000" w:fill="FCD5B4"/>
            <w:noWrap/>
            <w:vAlign w:val="bottom"/>
            <w:hideMark/>
          </w:tcPr>
          <w:p w14:paraId="03784F56" w14:textId="77777777" w:rsidR="00545500" w:rsidRPr="00545500" w:rsidRDefault="00545500" w:rsidP="00545500">
            <w:pPr>
              <w:jc w:val="center"/>
              <w:rPr>
                <w:rFonts w:eastAsia="Times New Roman" w:cs="Calibri"/>
                <w:sz w:val="20"/>
                <w:szCs w:val="20"/>
                <w:lang w:val="en-US"/>
              </w:rPr>
            </w:pPr>
            <w:r w:rsidRPr="00545500">
              <w:rPr>
                <w:rFonts w:eastAsia="Times New Roman" w:cs="Calibri"/>
                <w:sz w:val="20"/>
                <w:szCs w:val="20"/>
                <w:lang w:val="en-US"/>
              </w:rPr>
              <w:t>58 271</w:t>
            </w:r>
          </w:p>
        </w:tc>
        <w:tc>
          <w:tcPr>
            <w:tcW w:w="1843" w:type="dxa"/>
            <w:tcBorders>
              <w:top w:val="nil"/>
              <w:left w:val="nil"/>
              <w:bottom w:val="double" w:sz="6" w:space="0" w:color="E26B0A"/>
              <w:right w:val="double" w:sz="6" w:space="0" w:color="E26B0A"/>
            </w:tcBorders>
            <w:shd w:val="clear" w:color="000000" w:fill="FCD5B4"/>
            <w:noWrap/>
            <w:vAlign w:val="bottom"/>
            <w:hideMark/>
          </w:tcPr>
          <w:p w14:paraId="39885376" w14:textId="77777777" w:rsidR="00545500" w:rsidRPr="00545500" w:rsidRDefault="00545500" w:rsidP="00545500">
            <w:pPr>
              <w:jc w:val="center"/>
              <w:rPr>
                <w:rFonts w:eastAsia="Times New Roman" w:cs="Calibri"/>
                <w:sz w:val="20"/>
                <w:szCs w:val="20"/>
                <w:lang w:val="en-US"/>
              </w:rPr>
            </w:pPr>
            <w:r w:rsidRPr="00545500">
              <w:rPr>
                <w:rFonts w:eastAsia="Times New Roman" w:cs="Calibri"/>
                <w:sz w:val="20"/>
                <w:szCs w:val="20"/>
                <w:lang w:val="en-US"/>
              </w:rPr>
              <w:t>47 962</w:t>
            </w:r>
          </w:p>
        </w:tc>
      </w:tr>
    </w:tbl>
    <w:p w14:paraId="6DE3FD4D" w14:textId="1EEEE3E3" w:rsidR="00435274" w:rsidRDefault="00435274" w:rsidP="00435274">
      <w:pPr>
        <w:rPr>
          <w:b/>
        </w:rPr>
      </w:pPr>
    </w:p>
    <w:p w14:paraId="4DA94E43" w14:textId="732C2F29" w:rsidR="00545500" w:rsidRDefault="00545500" w:rsidP="00435274">
      <w:pPr>
        <w:rPr>
          <w:b/>
        </w:rPr>
      </w:pPr>
    </w:p>
    <w:p w14:paraId="011A3B66" w14:textId="66656323" w:rsidR="00545500" w:rsidRDefault="00545500" w:rsidP="00435274">
      <w:pPr>
        <w:rPr>
          <w:b/>
        </w:rPr>
      </w:pPr>
    </w:p>
    <w:p w14:paraId="5A992090" w14:textId="521D6FE3" w:rsidR="00545500" w:rsidRDefault="00545500" w:rsidP="00435274">
      <w:pPr>
        <w:rPr>
          <w:b/>
        </w:rPr>
      </w:pPr>
      <w:r>
        <w:rPr>
          <w:noProof/>
          <w:lang w:eastAsia="bg-BG"/>
        </w:rPr>
        <w:lastRenderedPageBreak/>
        <w:drawing>
          <wp:inline distT="0" distB="0" distL="0" distR="0" wp14:anchorId="01B9FFE9" wp14:editId="74FCC6B1">
            <wp:extent cx="5680710" cy="3048000"/>
            <wp:effectExtent l="57150" t="19050" r="53340" b="95250"/>
            <wp:docPr id="22" name="Chart 2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9CDE87F-353C-4449-ACBD-C3CBCA8C75F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4E5A4310" w14:textId="257A1393" w:rsidR="00545500" w:rsidRDefault="00545500" w:rsidP="00435274">
      <w:pPr>
        <w:rPr>
          <w:b/>
        </w:rPr>
      </w:pPr>
    </w:p>
    <w:p w14:paraId="4B8CA209" w14:textId="77777777" w:rsidR="0023200A" w:rsidRPr="00A85C03" w:rsidRDefault="0023200A" w:rsidP="0023200A">
      <w:pPr>
        <w:rPr>
          <w:b/>
          <w:color w:val="FF0000"/>
        </w:rPr>
      </w:pPr>
    </w:p>
    <w:p w14:paraId="74ED14EE" w14:textId="4829FFFC" w:rsidR="008E138C" w:rsidRPr="00F478A8" w:rsidRDefault="00382855" w:rsidP="00361B56">
      <w:pPr>
        <w:numPr>
          <w:ilvl w:val="0"/>
          <w:numId w:val="6"/>
        </w:numPr>
        <w:ind w:left="993" w:hanging="284"/>
        <w:rPr>
          <w:b/>
          <w:color w:val="FF0000"/>
        </w:rPr>
      </w:pPr>
      <w:r w:rsidRPr="00F478A8">
        <w:rPr>
          <w:b/>
        </w:rPr>
        <w:t>Рентабилност на труда:</w:t>
      </w:r>
    </w:p>
    <w:tbl>
      <w:tblPr>
        <w:tblW w:w="9072" w:type="dxa"/>
        <w:tblLook w:val="04A0" w:firstRow="1" w:lastRow="0" w:firstColumn="1" w:lastColumn="0" w:noHBand="0" w:noVBand="1"/>
      </w:tblPr>
      <w:tblGrid>
        <w:gridCol w:w="6237"/>
        <w:gridCol w:w="1418"/>
        <w:gridCol w:w="1417"/>
      </w:tblGrid>
      <w:tr w:rsidR="008E138C" w:rsidRPr="008E138C" w14:paraId="2DEFD421" w14:textId="77777777" w:rsidTr="00F478A8">
        <w:trPr>
          <w:trHeight w:val="288"/>
        </w:trPr>
        <w:tc>
          <w:tcPr>
            <w:tcW w:w="6237" w:type="dxa"/>
            <w:tcBorders>
              <w:top w:val="nil"/>
              <w:left w:val="nil"/>
              <w:bottom w:val="nil"/>
              <w:right w:val="nil"/>
            </w:tcBorders>
            <w:shd w:val="clear" w:color="auto" w:fill="auto"/>
            <w:noWrap/>
            <w:vAlign w:val="bottom"/>
            <w:hideMark/>
          </w:tcPr>
          <w:p w14:paraId="289D6C58" w14:textId="77777777" w:rsidR="008E138C" w:rsidRPr="008E138C" w:rsidRDefault="008E138C" w:rsidP="008E138C">
            <w:pPr>
              <w:rPr>
                <w:rFonts w:ascii="Times New Roman" w:eastAsia="Times New Roman" w:hAnsi="Times New Roman"/>
                <w:sz w:val="20"/>
                <w:szCs w:val="20"/>
                <w:lang w:val="en-US"/>
              </w:rPr>
            </w:pPr>
          </w:p>
        </w:tc>
        <w:tc>
          <w:tcPr>
            <w:tcW w:w="1418" w:type="dxa"/>
            <w:tcBorders>
              <w:top w:val="nil"/>
              <w:left w:val="nil"/>
              <w:bottom w:val="nil"/>
              <w:right w:val="nil"/>
            </w:tcBorders>
            <w:shd w:val="clear" w:color="auto" w:fill="auto"/>
            <w:noWrap/>
            <w:vAlign w:val="bottom"/>
            <w:hideMark/>
          </w:tcPr>
          <w:p w14:paraId="3A523B0E" w14:textId="77777777" w:rsidR="008E138C" w:rsidRPr="008E138C" w:rsidRDefault="008E138C" w:rsidP="008E138C">
            <w:pPr>
              <w:rPr>
                <w:rFonts w:ascii="Times New Roman" w:eastAsia="Times New Roman" w:hAnsi="Times New Roman"/>
                <w:sz w:val="20"/>
                <w:szCs w:val="20"/>
                <w:lang w:val="en-US"/>
              </w:rPr>
            </w:pPr>
          </w:p>
        </w:tc>
        <w:tc>
          <w:tcPr>
            <w:tcW w:w="1417" w:type="dxa"/>
            <w:tcBorders>
              <w:top w:val="nil"/>
              <w:left w:val="nil"/>
              <w:bottom w:val="nil"/>
              <w:right w:val="nil"/>
            </w:tcBorders>
            <w:shd w:val="clear" w:color="auto" w:fill="auto"/>
            <w:noWrap/>
            <w:vAlign w:val="bottom"/>
            <w:hideMark/>
          </w:tcPr>
          <w:p w14:paraId="7FB06A6D" w14:textId="77777777" w:rsidR="008E138C" w:rsidRPr="008E138C" w:rsidRDefault="008E138C" w:rsidP="008E138C">
            <w:pPr>
              <w:jc w:val="right"/>
              <w:rPr>
                <w:rFonts w:eastAsia="Times New Roman" w:cs="Calibri"/>
                <w:i/>
                <w:iCs/>
                <w:sz w:val="20"/>
                <w:szCs w:val="20"/>
                <w:lang w:val="en-US"/>
              </w:rPr>
            </w:pPr>
            <w:r w:rsidRPr="008E138C">
              <w:rPr>
                <w:rFonts w:eastAsia="Times New Roman" w:cs="Calibri"/>
                <w:i/>
                <w:iCs/>
                <w:sz w:val="20"/>
                <w:szCs w:val="20"/>
                <w:lang w:val="en-US"/>
              </w:rPr>
              <w:t>(лева)</w:t>
            </w:r>
          </w:p>
        </w:tc>
      </w:tr>
      <w:tr w:rsidR="008E138C" w:rsidRPr="008E138C" w14:paraId="60F5D0EE" w14:textId="77777777" w:rsidTr="00F478A8">
        <w:trPr>
          <w:trHeight w:val="270"/>
        </w:trPr>
        <w:tc>
          <w:tcPr>
            <w:tcW w:w="9072" w:type="dxa"/>
            <w:gridSpan w:val="3"/>
            <w:tcBorders>
              <w:top w:val="double" w:sz="6" w:space="0" w:color="E26B0A"/>
              <w:left w:val="double" w:sz="6" w:space="0" w:color="E26B0A"/>
              <w:bottom w:val="double" w:sz="6" w:space="0" w:color="E26B0A"/>
              <w:right w:val="double" w:sz="6" w:space="0" w:color="E26B0A"/>
            </w:tcBorders>
            <w:shd w:val="clear" w:color="000000" w:fill="E26B0A"/>
            <w:noWrap/>
            <w:vAlign w:val="bottom"/>
            <w:hideMark/>
          </w:tcPr>
          <w:p w14:paraId="64A9CBA1" w14:textId="77777777" w:rsidR="008E138C" w:rsidRPr="008E138C" w:rsidRDefault="008E138C" w:rsidP="008E138C">
            <w:pPr>
              <w:jc w:val="center"/>
              <w:rPr>
                <w:rFonts w:eastAsia="Times New Roman" w:cs="Calibri"/>
                <w:b/>
                <w:bCs/>
                <w:color w:val="FFFFFF"/>
                <w:lang w:val="en-US"/>
              </w:rPr>
            </w:pPr>
            <w:r w:rsidRPr="008E138C">
              <w:rPr>
                <w:rFonts w:eastAsia="Times New Roman" w:cs="Calibri"/>
                <w:b/>
                <w:bCs/>
                <w:color w:val="FFFFFF"/>
                <w:lang w:val="en-US"/>
              </w:rPr>
              <w:t xml:space="preserve">Рентабилност на труда </w:t>
            </w:r>
          </w:p>
        </w:tc>
      </w:tr>
      <w:tr w:rsidR="008E138C" w:rsidRPr="008E138C" w14:paraId="02EA6997" w14:textId="77777777" w:rsidTr="00F478A8">
        <w:trPr>
          <w:trHeight w:val="255"/>
        </w:trPr>
        <w:tc>
          <w:tcPr>
            <w:tcW w:w="6237" w:type="dxa"/>
            <w:tcBorders>
              <w:top w:val="nil"/>
              <w:left w:val="double" w:sz="6" w:space="0" w:color="E26B0A"/>
              <w:bottom w:val="double" w:sz="6" w:space="0" w:color="E26B0A"/>
              <w:right w:val="double" w:sz="6" w:space="0" w:color="E26B0A"/>
            </w:tcBorders>
            <w:shd w:val="clear" w:color="auto" w:fill="auto"/>
            <w:noWrap/>
            <w:vAlign w:val="bottom"/>
            <w:hideMark/>
          </w:tcPr>
          <w:p w14:paraId="515D1473" w14:textId="77777777" w:rsidR="008E138C" w:rsidRPr="008E138C" w:rsidRDefault="008E138C" w:rsidP="008E138C">
            <w:pPr>
              <w:rPr>
                <w:rFonts w:eastAsia="Times New Roman" w:cs="Calibri"/>
                <w:sz w:val="20"/>
                <w:szCs w:val="20"/>
                <w:lang w:val="en-US"/>
              </w:rPr>
            </w:pPr>
            <w:r w:rsidRPr="008E138C">
              <w:rPr>
                <w:rFonts w:eastAsia="Times New Roman" w:cs="Calibri"/>
                <w:sz w:val="20"/>
                <w:szCs w:val="20"/>
                <w:lang w:val="en-US"/>
              </w:rPr>
              <w:t>Години</w:t>
            </w:r>
          </w:p>
        </w:tc>
        <w:tc>
          <w:tcPr>
            <w:tcW w:w="1418" w:type="dxa"/>
            <w:tcBorders>
              <w:top w:val="single" w:sz="4" w:space="0" w:color="auto"/>
              <w:left w:val="single" w:sz="4" w:space="0" w:color="auto"/>
              <w:bottom w:val="single" w:sz="4" w:space="0" w:color="auto"/>
              <w:right w:val="single" w:sz="4" w:space="0" w:color="auto"/>
            </w:tcBorders>
            <w:shd w:val="clear" w:color="000000" w:fill="FDE9D9"/>
            <w:noWrap/>
            <w:vAlign w:val="bottom"/>
            <w:hideMark/>
          </w:tcPr>
          <w:p w14:paraId="7AE65F62" w14:textId="77777777" w:rsidR="008E138C" w:rsidRPr="008E138C" w:rsidRDefault="008E138C" w:rsidP="008E138C">
            <w:pPr>
              <w:jc w:val="center"/>
              <w:rPr>
                <w:rFonts w:eastAsia="Times New Roman" w:cs="Calibri"/>
                <w:b/>
                <w:bCs/>
                <w:sz w:val="20"/>
                <w:szCs w:val="20"/>
                <w:lang w:val="en-US"/>
              </w:rPr>
            </w:pPr>
            <w:r w:rsidRPr="008E138C">
              <w:rPr>
                <w:rFonts w:eastAsia="Times New Roman" w:cs="Calibri"/>
                <w:b/>
                <w:bCs/>
                <w:sz w:val="20"/>
                <w:szCs w:val="20"/>
                <w:lang w:val="en-US"/>
              </w:rPr>
              <w:t>2021</w:t>
            </w:r>
          </w:p>
        </w:tc>
        <w:tc>
          <w:tcPr>
            <w:tcW w:w="1417" w:type="dxa"/>
            <w:tcBorders>
              <w:top w:val="single" w:sz="4" w:space="0" w:color="auto"/>
              <w:left w:val="nil"/>
              <w:bottom w:val="single" w:sz="4" w:space="0" w:color="auto"/>
              <w:right w:val="single" w:sz="4" w:space="0" w:color="auto"/>
            </w:tcBorders>
            <w:shd w:val="clear" w:color="000000" w:fill="FDE9D9"/>
            <w:noWrap/>
            <w:vAlign w:val="bottom"/>
            <w:hideMark/>
          </w:tcPr>
          <w:p w14:paraId="72E62A1C" w14:textId="77777777" w:rsidR="008E138C" w:rsidRPr="008E138C" w:rsidRDefault="008E138C" w:rsidP="008E138C">
            <w:pPr>
              <w:jc w:val="center"/>
              <w:rPr>
                <w:rFonts w:eastAsia="Times New Roman" w:cs="Calibri"/>
                <w:b/>
                <w:bCs/>
                <w:sz w:val="20"/>
                <w:szCs w:val="20"/>
                <w:lang w:val="en-US"/>
              </w:rPr>
            </w:pPr>
            <w:r w:rsidRPr="008E138C">
              <w:rPr>
                <w:rFonts w:eastAsia="Times New Roman" w:cs="Calibri"/>
                <w:b/>
                <w:bCs/>
                <w:sz w:val="20"/>
                <w:szCs w:val="20"/>
                <w:lang w:val="en-US"/>
              </w:rPr>
              <w:t>2020</w:t>
            </w:r>
          </w:p>
        </w:tc>
      </w:tr>
      <w:tr w:rsidR="008E138C" w:rsidRPr="008E138C" w14:paraId="5ED8744E" w14:textId="77777777" w:rsidTr="00F478A8">
        <w:trPr>
          <w:trHeight w:val="300"/>
        </w:trPr>
        <w:tc>
          <w:tcPr>
            <w:tcW w:w="6237" w:type="dxa"/>
            <w:tcBorders>
              <w:top w:val="nil"/>
              <w:left w:val="double" w:sz="6" w:space="0" w:color="E26B0A"/>
              <w:bottom w:val="double" w:sz="6" w:space="0" w:color="E26B0A"/>
              <w:right w:val="double" w:sz="6" w:space="0" w:color="E26B0A"/>
            </w:tcBorders>
            <w:shd w:val="clear" w:color="auto" w:fill="auto"/>
            <w:noWrap/>
            <w:vAlign w:val="bottom"/>
            <w:hideMark/>
          </w:tcPr>
          <w:p w14:paraId="75E16B3E" w14:textId="77777777" w:rsidR="008E138C" w:rsidRPr="008E138C" w:rsidRDefault="008E138C" w:rsidP="008E138C">
            <w:pPr>
              <w:rPr>
                <w:rFonts w:eastAsia="Times New Roman" w:cs="Calibri"/>
                <w:sz w:val="20"/>
                <w:szCs w:val="20"/>
                <w:lang w:val="en-US"/>
              </w:rPr>
            </w:pPr>
            <w:r w:rsidRPr="008E138C">
              <w:rPr>
                <w:rFonts w:eastAsia="Times New Roman" w:cs="Calibri"/>
                <w:sz w:val="20"/>
                <w:szCs w:val="20"/>
                <w:lang w:val="en-US"/>
              </w:rPr>
              <w:t>Средносписъчен състав</w:t>
            </w:r>
          </w:p>
        </w:tc>
        <w:tc>
          <w:tcPr>
            <w:tcW w:w="1418" w:type="dxa"/>
            <w:tcBorders>
              <w:top w:val="double" w:sz="6" w:space="0" w:color="E26B0A"/>
              <w:left w:val="nil"/>
              <w:bottom w:val="double" w:sz="6" w:space="0" w:color="E26B0A"/>
              <w:right w:val="double" w:sz="6" w:space="0" w:color="E26B0A"/>
            </w:tcBorders>
            <w:shd w:val="clear" w:color="000000" w:fill="FCD5B4"/>
            <w:noWrap/>
            <w:vAlign w:val="bottom"/>
            <w:hideMark/>
          </w:tcPr>
          <w:p w14:paraId="63DC1BDD" w14:textId="77777777" w:rsidR="008E138C" w:rsidRPr="008E138C" w:rsidRDefault="008E138C" w:rsidP="008E138C">
            <w:pPr>
              <w:jc w:val="center"/>
              <w:rPr>
                <w:rFonts w:eastAsia="Times New Roman" w:cs="Calibri"/>
                <w:sz w:val="20"/>
                <w:szCs w:val="20"/>
                <w:lang w:val="en-US"/>
              </w:rPr>
            </w:pPr>
            <w:r w:rsidRPr="008E138C">
              <w:rPr>
                <w:rFonts w:eastAsia="Times New Roman" w:cs="Calibri"/>
                <w:sz w:val="20"/>
                <w:szCs w:val="20"/>
                <w:lang w:val="en-US"/>
              </w:rPr>
              <w:t>48,55</w:t>
            </w:r>
          </w:p>
        </w:tc>
        <w:tc>
          <w:tcPr>
            <w:tcW w:w="1417" w:type="dxa"/>
            <w:tcBorders>
              <w:top w:val="double" w:sz="6" w:space="0" w:color="E26B0A"/>
              <w:left w:val="nil"/>
              <w:bottom w:val="double" w:sz="6" w:space="0" w:color="E26B0A"/>
              <w:right w:val="double" w:sz="6" w:space="0" w:color="E26B0A"/>
            </w:tcBorders>
            <w:shd w:val="clear" w:color="000000" w:fill="FCD5B4"/>
            <w:noWrap/>
            <w:vAlign w:val="bottom"/>
            <w:hideMark/>
          </w:tcPr>
          <w:p w14:paraId="0E25E540" w14:textId="77777777" w:rsidR="008E138C" w:rsidRPr="008E138C" w:rsidRDefault="008E138C" w:rsidP="008E138C">
            <w:pPr>
              <w:jc w:val="center"/>
              <w:rPr>
                <w:rFonts w:eastAsia="Times New Roman" w:cs="Calibri"/>
                <w:sz w:val="20"/>
                <w:szCs w:val="20"/>
                <w:lang w:val="en-US"/>
              </w:rPr>
            </w:pPr>
            <w:r w:rsidRPr="008E138C">
              <w:rPr>
                <w:rFonts w:eastAsia="Times New Roman" w:cs="Calibri"/>
                <w:sz w:val="20"/>
                <w:szCs w:val="20"/>
                <w:lang w:val="en-US"/>
              </w:rPr>
              <w:t>48,55</w:t>
            </w:r>
          </w:p>
        </w:tc>
      </w:tr>
      <w:tr w:rsidR="008E138C" w:rsidRPr="008E138C" w14:paraId="5CE5DE18" w14:textId="77777777" w:rsidTr="00F478A8">
        <w:trPr>
          <w:trHeight w:val="300"/>
        </w:trPr>
        <w:tc>
          <w:tcPr>
            <w:tcW w:w="6237" w:type="dxa"/>
            <w:tcBorders>
              <w:top w:val="nil"/>
              <w:left w:val="double" w:sz="6" w:space="0" w:color="E26B0A"/>
              <w:bottom w:val="double" w:sz="6" w:space="0" w:color="E26B0A"/>
              <w:right w:val="double" w:sz="6" w:space="0" w:color="E26B0A"/>
            </w:tcBorders>
            <w:shd w:val="clear" w:color="000000" w:fill="FFFFFF"/>
            <w:noWrap/>
            <w:vAlign w:val="bottom"/>
            <w:hideMark/>
          </w:tcPr>
          <w:p w14:paraId="30F2CD0C" w14:textId="77777777" w:rsidR="008E138C" w:rsidRPr="008E138C" w:rsidRDefault="008E138C" w:rsidP="008E138C">
            <w:pPr>
              <w:rPr>
                <w:rFonts w:eastAsia="Times New Roman" w:cs="Calibri"/>
                <w:sz w:val="20"/>
                <w:szCs w:val="20"/>
                <w:lang w:val="en-US"/>
              </w:rPr>
            </w:pPr>
            <w:r w:rsidRPr="008E138C">
              <w:rPr>
                <w:rFonts w:eastAsia="Times New Roman" w:cs="Calibri"/>
                <w:sz w:val="20"/>
                <w:szCs w:val="20"/>
                <w:lang w:val="en-US"/>
              </w:rPr>
              <w:t>Финансов резултат</w:t>
            </w:r>
          </w:p>
        </w:tc>
        <w:tc>
          <w:tcPr>
            <w:tcW w:w="1418" w:type="dxa"/>
            <w:tcBorders>
              <w:top w:val="nil"/>
              <w:left w:val="single" w:sz="4" w:space="0" w:color="auto"/>
              <w:bottom w:val="single" w:sz="4" w:space="0" w:color="auto"/>
              <w:right w:val="single" w:sz="4" w:space="0" w:color="auto"/>
            </w:tcBorders>
            <w:shd w:val="clear" w:color="000000" w:fill="FDE9D9"/>
            <w:noWrap/>
            <w:vAlign w:val="bottom"/>
            <w:hideMark/>
          </w:tcPr>
          <w:p w14:paraId="6DB110BC" w14:textId="77777777" w:rsidR="008E138C" w:rsidRPr="008E138C" w:rsidRDefault="008E138C" w:rsidP="008E138C">
            <w:pPr>
              <w:jc w:val="center"/>
              <w:rPr>
                <w:rFonts w:eastAsia="Times New Roman" w:cs="Calibri"/>
                <w:sz w:val="20"/>
                <w:szCs w:val="20"/>
                <w:lang w:val="en-US"/>
              </w:rPr>
            </w:pPr>
            <w:r w:rsidRPr="008E138C">
              <w:rPr>
                <w:rFonts w:eastAsia="Times New Roman" w:cs="Calibri"/>
                <w:sz w:val="20"/>
                <w:szCs w:val="20"/>
                <w:lang w:val="en-US"/>
              </w:rPr>
              <w:t>224 000</w:t>
            </w:r>
          </w:p>
        </w:tc>
        <w:tc>
          <w:tcPr>
            <w:tcW w:w="1417" w:type="dxa"/>
            <w:tcBorders>
              <w:top w:val="nil"/>
              <w:left w:val="nil"/>
              <w:bottom w:val="single" w:sz="4" w:space="0" w:color="auto"/>
              <w:right w:val="single" w:sz="4" w:space="0" w:color="auto"/>
            </w:tcBorders>
            <w:shd w:val="clear" w:color="000000" w:fill="FDE9D9"/>
            <w:noWrap/>
            <w:vAlign w:val="bottom"/>
            <w:hideMark/>
          </w:tcPr>
          <w:p w14:paraId="3CDBF229" w14:textId="77777777" w:rsidR="008E138C" w:rsidRPr="008E138C" w:rsidRDefault="008E138C" w:rsidP="008E138C">
            <w:pPr>
              <w:jc w:val="center"/>
              <w:rPr>
                <w:rFonts w:eastAsia="Times New Roman" w:cs="Calibri"/>
                <w:sz w:val="20"/>
                <w:szCs w:val="20"/>
                <w:lang w:val="en-US"/>
              </w:rPr>
            </w:pPr>
            <w:r w:rsidRPr="008E138C">
              <w:rPr>
                <w:rFonts w:eastAsia="Times New Roman" w:cs="Calibri"/>
                <w:sz w:val="20"/>
                <w:szCs w:val="20"/>
                <w:lang w:val="en-US"/>
              </w:rPr>
              <w:t>109 000</w:t>
            </w:r>
          </w:p>
        </w:tc>
      </w:tr>
      <w:tr w:rsidR="008E138C" w:rsidRPr="008E138C" w14:paraId="60F65DA7" w14:textId="77777777" w:rsidTr="00F478A8">
        <w:trPr>
          <w:trHeight w:val="300"/>
        </w:trPr>
        <w:tc>
          <w:tcPr>
            <w:tcW w:w="6237" w:type="dxa"/>
            <w:tcBorders>
              <w:top w:val="nil"/>
              <w:left w:val="double" w:sz="6" w:space="0" w:color="E26B0A"/>
              <w:bottom w:val="double" w:sz="6" w:space="0" w:color="E26B0A"/>
              <w:right w:val="double" w:sz="6" w:space="0" w:color="E26B0A"/>
            </w:tcBorders>
            <w:shd w:val="clear" w:color="000000" w:fill="FFFFFF"/>
            <w:noWrap/>
            <w:vAlign w:val="bottom"/>
            <w:hideMark/>
          </w:tcPr>
          <w:p w14:paraId="79861854" w14:textId="77777777" w:rsidR="008E138C" w:rsidRPr="008E138C" w:rsidRDefault="008E138C" w:rsidP="008E138C">
            <w:pPr>
              <w:rPr>
                <w:rFonts w:eastAsia="Times New Roman" w:cs="Calibri"/>
                <w:sz w:val="20"/>
                <w:szCs w:val="20"/>
                <w:lang w:val="en-US"/>
              </w:rPr>
            </w:pPr>
            <w:r w:rsidRPr="008E138C">
              <w:rPr>
                <w:rFonts w:eastAsia="Times New Roman" w:cs="Calibri"/>
                <w:sz w:val="20"/>
                <w:szCs w:val="20"/>
                <w:lang w:val="en-US"/>
              </w:rPr>
              <w:t xml:space="preserve">Финансов резултат / 1 лице </w:t>
            </w:r>
          </w:p>
        </w:tc>
        <w:tc>
          <w:tcPr>
            <w:tcW w:w="1418" w:type="dxa"/>
            <w:tcBorders>
              <w:top w:val="double" w:sz="6" w:space="0" w:color="E26B0A"/>
              <w:left w:val="nil"/>
              <w:bottom w:val="double" w:sz="6" w:space="0" w:color="E26B0A"/>
              <w:right w:val="double" w:sz="6" w:space="0" w:color="E26B0A"/>
            </w:tcBorders>
            <w:shd w:val="clear" w:color="000000" w:fill="FCD5B4"/>
            <w:noWrap/>
            <w:vAlign w:val="bottom"/>
            <w:hideMark/>
          </w:tcPr>
          <w:p w14:paraId="28605803" w14:textId="77777777" w:rsidR="008E138C" w:rsidRPr="008E138C" w:rsidRDefault="008E138C" w:rsidP="008E138C">
            <w:pPr>
              <w:jc w:val="center"/>
              <w:rPr>
                <w:rFonts w:eastAsia="Times New Roman" w:cs="Calibri"/>
                <w:sz w:val="20"/>
                <w:szCs w:val="20"/>
                <w:lang w:val="en-US"/>
              </w:rPr>
            </w:pPr>
            <w:r w:rsidRPr="008E138C">
              <w:rPr>
                <w:rFonts w:eastAsia="Times New Roman" w:cs="Calibri"/>
                <w:sz w:val="20"/>
                <w:szCs w:val="20"/>
                <w:lang w:val="en-US"/>
              </w:rPr>
              <w:t>4 614</w:t>
            </w:r>
          </w:p>
        </w:tc>
        <w:tc>
          <w:tcPr>
            <w:tcW w:w="1417" w:type="dxa"/>
            <w:tcBorders>
              <w:top w:val="double" w:sz="6" w:space="0" w:color="E26B0A"/>
              <w:left w:val="nil"/>
              <w:bottom w:val="double" w:sz="6" w:space="0" w:color="E26B0A"/>
              <w:right w:val="double" w:sz="6" w:space="0" w:color="E26B0A"/>
            </w:tcBorders>
            <w:shd w:val="clear" w:color="000000" w:fill="FCD5B4"/>
            <w:noWrap/>
            <w:vAlign w:val="bottom"/>
            <w:hideMark/>
          </w:tcPr>
          <w:p w14:paraId="131D2A8F" w14:textId="77777777" w:rsidR="008E138C" w:rsidRPr="008E138C" w:rsidRDefault="008E138C" w:rsidP="008E138C">
            <w:pPr>
              <w:jc w:val="center"/>
              <w:rPr>
                <w:rFonts w:eastAsia="Times New Roman" w:cs="Calibri"/>
                <w:sz w:val="20"/>
                <w:szCs w:val="20"/>
                <w:lang w:val="en-US"/>
              </w:rPr>
            </w:pPr>
            <w:r w:rsidRPr="008E138C">
              <w:rPr>
                <w:rFonts w:eastAsia="Times New Roman" w:cs="Calibri"/>
                <w:sz w:val="20"/>
                <w:szCs w:val="20"/>
                <w:lang w:val="en-US"/>
              </w:rPr>
              <w:t>2 245</w:t>
            </w:r>
          </w:p>
        </w:tc>
      </w:tr>
    </w:tbl>
    <w:p w14:paraId="750777F3" w14:textId="498D351E" w:rsidR="008E138C" w:rsidRDefault="008E138C" w:rsidP="008E138C">
      <w:pPr>
        <w:rPr>
          <w:b/>
          <w:color w:val="FF0000"/>
        </w:rPr>
      </w:pPr>
    </w:p>
    <w:p w14:paraId="493B8E47" w14:textId="6C3BBDD3" w:rsidR="008E138C" w:rsidRDefault="008E138C" w:rsidP="008E138C">
      <w:pPr>
        <w:rPr>
          <w:b/>
          <w:color w:val="FF0000"/>
        </w:rPr>
      </w:pPr>
      <w:r>
        <w:rPr>
          <w:noProof/>
          <w:lang w:eastAsia="bg-BG"/>
        </w:rPr>
        <w:drawing>
          <wp:inline distT="0" distB="0" distL="0" distR="0" wp14:anchorId="4AEE4861" wp14:editId="56FE6C65">
            <wp:extent cx="5680710" cy="3048000"/>
            <wp:effectExtent l="57150" t="19050" r="53340" b="95250"/>
            <wp:docPr id="23" name="Chart 2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A75C75E-AC25-4AF3-9CCD-768A6B8FEEF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4"/>
              </a:graphicData>
            </a:graphic>
          </wp:inline>
        </w:drawing>
      </w:r>
    </w:p>
    <w:p w14:paraId="5680FA4B" w14:textId="2D0EF1B4" w:rsidR="008E138C" w:rsidRDefault="008E138C" w:rsidP="008E138C">
      <w:pPr>
        <w:rPr>
          <w:b/>
          <w:color w:val="FF0000"/>
        </w:rPr>
      </w:pPr>
    </w:p>
    <w:p w14:paraId="315B53CB" w14:textId="4CE52D6B" w:rsidR="008E138C" w:rsidRDefault="008E138C" w:rsidP="008E138C">
      <w:pPr>
        <w:rPr>
          <w:b/>
          <w:color w:val="FF0000"/>
        </w:rPr>
      </w:pPr>
    </w:p>
    <w:p w14:paraId="0F0C3259" w14:textId="7991324F" w:rsidR="008E138C" w:rsidRDefault="008E138C" w:rsidP="008E138C">
      <w:pPr>
        <w:rPr>
          <w:b/>
          <w:color w:val="FF0000"/>
        </w:rPr>
      </w:pPr>
    </w:p>
    <w:p w14:paraId="5243F5D0" w14:textId="77777777" w:rsidR="00F478A8" w:rsidRDefault="00F478A8" w:rsidP="008E138C">
      <w:pPr>
        <w:rPr>
          <w:b/>
          <w:color w:val="FF0000"/>
        </w:rPr>
      </w:pPr>
    </w:p>
    <w:p w14:paraId="70ED1870" w14:textId="77777777" w:rsidR="008E138C" w:rsidRDefault="008E138C" w:rsidP="008E138C">
      <w:pPr>
        <w:rPr>
          <w:b/>
          <w:color w:val="FF0000"/>
        </w:rPr>
      </w:pPr>
    </w:p>
    <w:p w14:paraId="4935FB3E" w14:textId="3D539CE8" w:rsidR="0022601F" w:rsidRPr="00F478A8" w:rsidRDefault="00163EC2" w:rsidP="00C20CE5">
      <w:pPr>
        <w:numPr>
          <w:ilvl w:val="0"/>
          <w:numId w:val="6"/>
        </w:numPr>
        <w:ind w:left="993" w:hanging="284"/>
        <w:rPr>
          <w:b/>
        </w:rPr>
      </w:pPr>
      <w:r w:rsidRPr="00F478A8">
        <w:rPr>
          <w:b/>
        </w:rPr>
        <w:lastRenderedPageBreak/>
        <w:t>Издръжка на едно лице от средносписъчния състав на персонала:</w:t>
      </w:r>
    </w:p>
    <w:tbl>
      <w:tblPr>
        <w:tblW w:w="8908" w:type="dxa"/>
        <w:tblLook w:val="04A0" w:firstRow="1" w:lastRow="0" w:firstColumn="1" w:lastColumn="0" w:noHBand="0" w:noVBand="1"/>
      </w:tblPr>
      <w:tblGrid>
        <w:gridCol w:w="6356"/>
        <w:gridCol w:w="1134"/>
        <w:gridCol w:w="1418"/>
      </w:tblGrid>
      <w:tr w:rsidR="0022601F" w:rsidRPr="0022601F" w14:paraId="5C90E4F9" w14:textId="77777777" w:rsidTr="00F478A8">
        <w:trPr>
          <w:trHeight w:val="300"/>
        </w:trPr>
        <w:tc>
          <w:tcPr>
            <w:tcW w:w="8908" w:type="dxa"/>
            <w:gridSpan w:val="3"/>
            <w:tcBorders>
              <w:top w:val="double" w:sz="6" w:space="0" w:color="E26B0A"/>
              <w:left w:val="double" w:sz="6" w:space="0" w:color="E26B0A"/>
              <w:bottom w:val="double" w:sz="6" w:space="0" w:color="E26B0A"/>
              <w:right w:val="double" w:sz="6" w:space="0" w:color="E26B0A"/>
            </w:tcBorders>
            <w:shd w:val="clear" w:color="000000" w:fill="E26B0A"/>
            <w:noWrap/>
            <w:vAlign w:val="bottom"/>
            <w:hideMark/>
          </w:tcPr>
          <w:p w14:paraId="7C8384F7" w14:textId="77777777" w:rsidR="0022601F" w:rsidRPr="0022601F" w:rsidRDefault="0022601F" w:rsidP="0022601F">
            <w:pPr>
              <w:jc w:val="center"/>
              <w:rPr>
                <w:rFonts w:eastAsia="Times New Roman" w:cs="Calibri"/>
                <w:b/>
                <w:bCs/>
                <w:color w:val="FFFFFF"/>
                <w:sz w:val="20"/>
                <w:szCs w:val="20"/>
                <w:lang w:val="en-US"/>
              </w:rPr>
            </w:pPr>
            <w:r w:rsidRPr="0022601F">
              <w:rPr>
                <w:rFonts w:eastAsia="Times New Roman" w:cs="Calibri"/>
                <w:b/>
                <w:bCs/>
                <w:color w:val="FFFFFF"/>
                <w:sz w:val="20"/>
                <w:szCs w:val="20"/>
                <w:lang w:val="en-US"/>
              </w:rPr>
              <w:t>Издръжка на едно лице от персонала (лв.)</w:t>
            </w:r>
          </w:p>
        </w:tc>
      </w:tr>
      <w:tr w:rsidR="0022601F" w:rsidRPr="0022601F" w14:paraId="5D73A9DE" w14:textId="77777777" w:rsidTr="00F478A8">
        <w:trPr>
          <w:trHeight w:val="300"/>
        </w:trPr>
        <w:tc>
          <w:tcPr>
            <w:tcW w:w="6356" w:type="dxa"/>
            <w:tcBorders>
              <w:top w:val="nil"/>
              <w:left w:val="double" w:sz="6" w:space="0" w:color="E26B0A"/>
              <w:bottom w:val="double" w:sz="6" w:space="0" w:color="E26B0A"/>
              <w:right w:val="double" w:sz="6" w:space="0" w:color="E26B0A"/>
            </w:tcBorders>
            <w:shd w:val="clear" w:color="auto" w:fill="auto"/>
            <w:noWrap/>
            <w:vAlign w:val="bottom"/>
            <w:hideMark/>
          </w:tcPr>
          <w:p w14:paraId="3DAD1E5E" w14:textId="77777777" w:rsidR="0022601F" w:rsidRPr="0022601F" w:rsidRDefault="0022601F" w:rsidP="0022601F">
            <w:pPr>
              <w:rPr>
                <w:rFonts w:eastAsia="Times New Roman" w:cs="Calibri"/>
                <w:sz w:val="20"/>
                <w:szCs w:val="20"/>
                <w:lang w:val="en-US"/>
              </w:rPr>
            </w:pPr>
            <w:r w:rsidRPr="0022601F">
              <w:rPr>
                <w:rFonts w:eastAsia="Times New Roman" w:cs="Calibri"/>
                <w:sz w:val="20"/>
                <w:szCs w:val="20"/>
                <w:lang w:val="en-US"/>
              </w:rPr>
              <w:t> </w:t>
            </w:r>
          </w:p>
        </w:tc>
        <w:tc>
          <w:tcPr>
            <w:tcW w:w="1134" w:type="dxa"/>
            <w:tcBorders>
              <w:top w:val="nil"/>
              <w:left w:val="nil"/>
              <w:bottom w:val="double" w:sz="6" w:space="0" w:color="E26B0A"/>
              <w:right w:val="double" w:sz="6" w:space="0" w:color="E26B0A"/>
            </w:tcBorders>
            <w:shd w:val="clear" w:color="000000" w:fill="FCD5B4"/>
            <w:noWrap/>
            <w:vAlign w:val="bottom"/>
            <w:hideMark/>
          </w:tcPr>
          <w:p w14:paraId="3572C3EE" w14:textId="77777777" w:rsidR="0022601F" w:rsidRPr="0022601F" w:rsidRDefault="0022601F" w:rsidP="0022601F">
            <w:pPr>
              <w:jc w:val="center"/>
              <w:rPr>
                <w:rFonts w:eastAsia="Times New Roman" w:cs="Calibri"/>
                <w:b/>
                <w:bCs/>
                <w:sz w:val="20"/>
                <w:szCs w:val="20"/>
                <w:lang w:val="en-US"/>
              </w:rPr>
            </w:pPr>
            <w:r w:rsidRPr="0022601F">
              <w:rPr>
                <w:rFonts w:eastAsia="Times New Roman" w:cs="Calibri"/>
                <w:b/>
                <w:bCs/>
                <w:sz w:val="20"/>
                <w:szCs w:val="20"/>
                <w:lang w:val="en-US"/>
              </w:rPr>
              <w:t>2021</w:t>
            </w:r>
          </w:p>
        </w:tc>
        <w:tc>
          <w:tcPr>
            <w:tcW w:w="1418" w:type="dxa"/>
            <w:tcBorders>
              <w:top w:val="nil"/>
              <w:left w:val="nil"/>
              <w:bottom w:val="double" w:sz="6" w:space="0" w:color="E26B0A"/>
              <w:right w:val="double" w:sz="6" w:space="0" w:color="E26B0A"/>
            </w:tcBorders>
            <w:shd w:val="clear" w:color="000000" w:fill="FCD5B4"/>
            <w:noWrap/>
            <w:vAlign w:val="bottom"/>
            <w:hideMark/>
          </w:tcPr>
          <w:p w14:paraId="0ED35BC1" w14:textId="77777777" w:rsidR="0022601F" w:rsidRPr="0022601F" w:rsidRDefault="0022601F" w:rsidP="0022601F">
            <w:pPr>
              <w:jc w:val="center"/>
              <w:rPr>
                <w:rFonts w:eastAsia="Times New Roman" w:cs="Calibri"/>
                <w:b/>
                <w:bCs/>
                <w:sz w:val="20"/>
                <w:szCs w:val="20"/>
                <w:lang w:val="en-US"/>
              </w:rPr>
            </w:pPr>
            <w:r w:rsidRPr="0022601F">
              <w:rPr>
                <w:rFonts w:eastAsia="Times New Roman" w:cs="Calibri"/>
                <w:b/>
                <w:bCs/>
                <w:sz w:val="20"/>
                <w:szCs w:val="20"/>
                <w:lang w:val="en-US"/>
              </w:rPr>
              <w:t>2020</w:t>
            </w:r>
          </w:p>
        </w:tc>
      </w:tr>
      <w:tr w:rsidR="0022601F" w:rsidRPr="0022601F" w14:paraId="1BCF98BB" w14:textId="77777777" w:rsidTr="00F478A8">
        <w:trPr>
          <w:trHeight w:val="300"/>
        </w:trPr>
        <w:tc>
          <w:tcPr>
            <w:tcW w:w="6356" w:type="dxa"/>
            <w:tcBorders>
              <w:top w:val="nil"/>
              <w:left w:val="double" w:sz="6" w:space="0" w:color="E26B0A"/>
              <w:bottom w:val="double" w:sz="6" w:space="0" w:color="E26B0A"/>
              <w:right w:val="double" w:sz="6" w:space="0" w:color="E26B0A"/>
            </w:tcBorders>
            <w:shd w:val="clear" w:color="auto" w:fill="auto"/>
            <w:noWrap/>
            <w:vAlign w:val="bottom"/>
            <w:hideMark/>
          </w:tcPr>
          <w:p w14:paraId="394890AD" w14:textId="77777777" w:rsidR="0022601F" w:rsidRPr="0022601F" w:rsidRDefault="0022601F" w:rsidP="0022601F">
            <w:pPr>
              <w:rPr>
                <w:rFonts w:eastAsia="Times New Roman" w:cs="Calibri"/>
                <w:sz w:val="20"/>
                <w:szCs w:val="20"/>
                <w:lang w:val="en-US"/>
              </w:rPr>
            </w:pPr>
            <w:r w:rsidRPr="0022601F">
              <w:rPr>
                <w:rFonts w:eastAsia="Times New Roman" w:cs="Calibri"/>
                <w:sz w:val="20"/>
                <w:szCs w:val="20"/>
                <w:lang w:val="en-US"/>
              </w:rPr>
              <w:t>Издръжка на 1 лице</w:t>
            </w:r>
          </w:p>
        </w:tc>
        <w:tc>
          <w:tcPr>
            <w:tcW w:w="1134" w:type="dxa"/>
            <w:tcBorders>
              <w:top w:val="nil"/>
              <w:left w:val="nil"/>
              <w:bottom w:val="double" w:sz="6" w:space="0" w:color="E26B0A"/>
              <w:right w:val="double" w:sz="6" w:space="0" w:color="E26B0A"/>
            </w:tcBorders>
            <w:shd w:val="clear" w:color="000000" w:fill="FCD5B4"/>
            <w:noWrap/>
            <w:vAlign w:val="bottom"/>
            <w:hideMark/>
          </w:tcPr>
          <w:p w14:paraId="2FE30D52" w14:textId="77777777" w:rsidR="0022601F" w:rsidRPr="0022601F" w:rsidRDefault="0022601F" w:rsidP="0022601F">
            <w:pPr>
              <w:jc w:val="center"/>
              <w:rPr>
                <w:rFonts w:eastAsia="Times New Roman" w:cs="Calibri"/>
                <w:sz w:val="20"/>
                <w:szCs w:val="20"/>
                <w:lang w:val="en-US"/>
              </w:rPr>
            </w:pPr>
            <w:r w:rsidRPr="0022601F">
              <w:rPr>
                <w:rFonts w:eastAsia="Times New Roman" w:cs="Calibri"/>
                <w:sz w:val="20"/>
                <w:szCs w:val="20"/>
                <w:lang w:val="en-US"/>
              </w:rPr>
              <w:t>31 823</w:t>
            </w:r>
          </w:p>
        </w:tc>
        <w:tc>
          <w:tcPr>
            <w:tcW w:w="1418" w:type="dxa"/>
            <w:tcBorders>
              <w:top w:val="nil"/>
              <w:left w:val="nil"/>
              <w:bottom w:val="double" w:sz="6" w:space="0" w:color="E26B0A"/>
              <w:right w:val="double" w:sz="6" w:space="0" w:color="E26B0A"/>
            </w:tcBorders>
            <w:shd w:val="clear" w:color="000000" w:fill="FCD5B4"/>
            <w:noWrap/>
            <w:vAlign w:val="bottom"/>
            <w:hideMark/>
          </w:tcPr>
          <w:p w14:paraId="3482DFC7" w14:textId="77777777" w:rsidR="0022601F" w:rsidRPr="0022601F" w:rsidRDefault="0022601F" w:rsidP="0022601F">
            <w:pPr>
              <w:jc w:val="center"/>
              <w:rPr>
                <w:rFonts w:eastAsia="Times New Roman" w:cs="Calibri"/>
                <w:sz w:val="20"/>
                <w:szCs w:val="20"/>
                <w:lang w:val="en-US"/>
              </w:rPr>
            </w:pPr>
            <w:r w:rsidRPr="0022601F">
              <w:rPr>
                <w:rFonts w:eastAsia="Times New Roman" w:cs="Calibri"/>
                <w:sz w:val="20"/>
                <w:szCs w:val="20"/>
                <w:lang w:val="en-US"/>
              </w:rPr>
              <w:t>26 632</w:t>
            </w:r>
          </w:p>
        </w:tc>
      </w:tr>
    </w:tbl>
    <w:p w14:paraId="5756FB23" w14:textId="38F28AA3" w:rsidR="0022601F" w:rsidRDefault="0022601F" w:rsidP="0022601F">
      <w:pPr>
        <w:rPr>
          <w:b/>
        </w:rPr>
      </w:pPr>
    </w:p>
    <w:p w14:paraId="4BBD6C20" w14:textId="759E5AED" w:rsidR="0022601F" w:rsidRDefault="0022601F" w:rsidP="0022601F">
      <w:pPr>
        <w:rPr>
          <w:b/>
        </w:rPr>
      </w:pPr>
      <w:r>
        <w:rPr>
          <w:noProof/>
          <w:lang w:eastAsia="bg-BG"/>
        </w:rPr>
        <w:drawing>
          <wp:inline distT="0" distB="0" distL="0" distR="0" wp14:anchorId="57132391" wp14:editId="71FDA0A8">
            <wp:extent cx="5657850" cy="2686050"/>
            <wp:effectExtent l="57150" t="19050" r="57150" b="95250"/>
            <wp:docPr id="24" name="Chart 2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1C4D0E9-F120-401D-A285-B58293D30FF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14:paraId="7A2A4735" w14:textId="5DD01A96" w:rsidR="0023200A" w:rsidRDefault="0023200A" w:rsidP="0023200A">
      <w:pPr>
        <w:rPr>
          <w:b/>
          <w:color w:val="FF0000"/>
        </w:rPr>
      </w:pPr>
    </w:p>
    <w:p w14:paraId="1398C476" w14:textId="77777777" w:rsidR="00F478A8" w:rsidRPr="00A85C03" w:rsidRDefault="00F478A8" w:rsidP="0023200A">
      <w:pPr>
        <w:rPr>
          <w:b/>
          <w:color w:val="FF0000"/>
        </w:rPr>
      </w:pPr>
    </w:p>
    <w:p w14:paraId="1B0D2665" w14:textId="1D357949" w:rsidR="0022601F" w:rsidRPr="00F478A8" w:rsidRDefault="00D07CFD" w:rsidP="00517492">
      <w:pPr>
        <w:pStyle w:val="BodyText"/>
        <w:numPr>
          <w:ilvl w:val="0"/>
          <w:numId w:val="6"/>
        </w:numPr>
        <w:tabs>
          <w:tab w:val="num" w:pos="426"/>
        </w:tabs>
        <w:ind w:right="180"/>
        <w:jc w:val="both"/>
        <w:rPr>
          <w:rFonts w:ascii="Calibri" w:eastAsia="Calibri" w:hAnsi="Calibri"/>
          <w:b/>
          <w:sz w:val="22"/>
          <w:szCs w:val="22"/>
        </w:rPr>
      </w:pPr>
      <w:r w:rsidRPr="00F478A8">
        <w:rPr>
          <w:rFonts w:ascii="Calibri" w:eastAsia="Calibri" w:hAnsi="Calibri"/>
          <w:b/>
          <w:sz w:val="22"/>
          <w:szCs w:val="22"/>
        </w:rPr>
        <w:t>Картина</w:t>
      </w:r>
      <w:r w:rsidR="007544B6" w:rsidRPr="00F478A8">
        <w:rPr>
          <w:rFonts w:ascii="Calibri" w:eastAsia="Calibri" w:hAnsi="Calibri"/>
          <w:b/>
          <w:sz w:val="22"/>
          <w:szCs w:val="22"/>
        </w:rPr>
        <w:t xml:space="preserve"> за издръжка на едно лице от средносписъчния състав на персонала спрямо производителност на труда и рентабилност на труда:</w:t>
      </w:r>
    </w:p>
    <w:tbl>
      <w:tblPr>
        <w:tblW w:w="8789" w:type="dxa"/>
        <w:tblLook w:val="04A0" w:firstRow="1" w:lastRow="0" w:firstColumn="1" w:lastColumn="0" w:noHBand="0" w:noVBand="1"/>
      </w:tblPr>
      <w:tblGrid>
        <w:gridCol w:w="6300"/>
        <w:gridCol w:w="1355"/>
        <w:gridCol w:w="1134"/>
      </w:tblGrid>
      <w:tr w:rsidR="00EA45B1" w:rsidRPr="00EA45B1" w14:paraId="5E376345" w14:textId="77777777" w:rsidTr="00F478A8">
        <w:trPr>
          <w:trHeight w:val="288"/>
        </w:trPr>
        <w:tc>
          <w:tcPr>
            <w:tcW w:w="6300" w:type="dxa"/>
            <w:tcBorders>
              <w:top w:val="nil"/>
              <w:left w:val="nil"/>
              <w:bottom w:val="nil"/>
              <w:right w:val="nil"/>
            </w:tcBorders>
            <w:shd w:val="clear" w:color="auto" w:fill="auto"/>
            <w:noWrap/>
            <w:vAlign w:val="bottom"/>
            <w:hideMark/>
          </w:tcPr>
          <w:p w14:paraId="41291645" w14:textId="77777777" w:rsidR="00EA45B1" w:rsidRPr="00EA45B1" w:rsidRDefault="00EA45B1" w:rsidP="00EA45B1">
            <w:pPr>
              <w:rPr>
                <w:rFonts w:ascii="Times New Roman" w:eastAsia="Times New Roman" w:hAnsi="Times New Roman"/>
                <w:sz w:val="20"/>
                <w:szCs w:val="20"/>
                <w:lang w:val="en-US"/>
              </w:rPr>
            </w:pPr>
          </w:p>
        </w:tc>
        <w:tc>
          <w:tcPr>
            <w:tcW w:w="1355" w:type="dxa"/>
            <w:tcBorders>
              <w:top w:val="nil"/>
              <w:left w:val="nil"/>
              <w:bottom w:val="nil"/>
              <w:right w:val="nil"/>
            </w:tcBorders>
            <w:shd w:val="clear" w:color="auto" w:fill="auto"/>
            <w:noWrap/>
            <w:vAlign w:val="bottom"/>
            <w:hideMark/>
          </w:tcPr>
          <w:p w14:paraId="60481CEC" w14:textId="77777777" w:rsidR="00EA45B1" w:rsidRPr="00EA45B1" w:rsidRDefault="00EA45B1" w:rsidP="00EA45B1">
            <w:pPr>
              <w:rPr>
                <w:rFonts w:ascii="Times New Roman" w:eastAsia="Times New Roman" w:hAnsi="Times New Roman"/>
                <w:sz w:val="20"/>
                <w:szCs w:val="20"/>
                <w:lang w:val="en-US"/>
              </w:rPr>
            </w:pPr>
          </w:p>
        </w:tc>
        <w:tc>
          <w:tcPr>
            <w:tcW w:w="1134" w:type="dxa"/>
            <w:tcBorders>
              <w:top w:val="nil"/>
              <w:left w:val="nil"/>
              <w:bottom w:val="nil"/>
              <w:right w:val="nil"/>
            </w:tcBorders>
            <w:shd w:val="clear" w:color="auto" w:fill="auto"/>
            <w:noWrap/>
            <w:vAlign w:val="bottom"/>
            <w:hideMark/>
          </w:tcPr>
          <w:p w14:paraId="498A6AFE" w14:textId="77777777" w:rsidR="00EA45B1" w:rsidRPr="00EA45B1" w:rsidRDefault="00EA45B1" w:rsidP="00EA45B1">
            <w:pPr>
              <w:jc w:val="right"/>
              <w:rPr>
                <w:rFonts w:eastAsia="Times New Roman" w:cs="Calibri"/>
                <w:i/>
                <w:iCs/>
                <w:sz w:val="20"/>
                <w:szCs w:val="20"/>
                <w:lang w:val="en-US"/>
              </w:rPr>
            </w:pPr>
            <w:r w:rsidRPr="00EA45B1">
              <w:rPr>
                <w:rFonts w:eastAsia="Times New Roman" w:cs="Calibri"/>
                <w:i/>
                <w:iCs/>
                <w:sz w:val="20"/>
                <w:szCs w:val="20"/>
                <w:lang w:val="en-US"/>
              </w:rPr>
              <w:t>(лева)</w:t>
            </w:r>
          </w:p>
        </w:tc>
      </w:tr>
      <w:tr w:rsidR="00EA45B1" w:rsidRPr="00EA45B1" w14:paraId="140FF7D6" w14:textId="77777777" w:rsidTr="00F478A8">
        <w:trPr>
          <w:trHeight w:val="300"/>
        </w:trPr>
        <w:tc>
          <w:tcPr>
            <w:tcW w:w="6300" w:type="dxa"/>
            <w:tcBorders>
              <w:top w:val="double" w:sz="6" w:space="0" w:color="E26B0A"/>
              <w:left w:val="double" w:sz="6" w:space="0" w:color="E26B0A"/>
              <w:bottom w:val="double" w:sz="6" w:space="0" w:color="E26B0A"/>
              <w:right w:val="double" w:sz="6" w:space="0" w:color="E26B0A"/>
            </w:tcBorders>
            <w:shd w:val="clear" w:color="000000" w:fill="E26B0A"/>
            <w:noWrap/>
            <w:vAlign w:val="bottom"/>
            <w:hideMark/>
          </w:tcPr>
          <w:p w14:paraId="0DE83579" w14:textId="77777777" w:rsidR="00EA45B1" w:rsidRPr="00EA45B1" w:rsidRDefault="00EA45B1" w:rsidP="00EA45B1">
            <w:pPr>
              <w:jc w:val="center"/>
              <w:rPr>
                <w:rFonts w:eastAsia="Times New Roman" w:cs="Calibri"/>
                <w:b/>
                <w:bCs/>
                <w:color w:val="FFFFFF"/>
                <w:sz w:val="20"/>
                <w:szCs w:val="20"/>
                <w:lang w:val="en-US"/>
              </w:rPr>
            </w:pPr>
            <w:r w:rsidRPr="00EA45B1">
              <w:rPr>
                <w:rFonts w:eastAsia="Times New Roman" w:cs="Calibri"/>
                <w:b/>
                <w:bCs/>
                <w:color w:val="FFFFFF"/>
                <w:sz w:val="20"/>
                <w:szCs w:val="20"/>
                <w:lang w:val="en-US"/>
              </w:rPr>
              <w:t>Години</w:t>
            </w:r>
          </w:p>
        </w:tc>
        <w:tc>
          <w:tcPr>
            <w:tcW w:w="1355" w:type="dxa"/>
            <w:tcBorders>
              <w:top w:val="double" w:sz="6" w:space="0" w:color="E26B0A"/>
              <w:left w:val="nil"/>
              <w:bottom w:val="double" w:sz="6" w:space="0" w:color="E26B0A"/>
              <w:right w:val="double" w:sz="6" w:space="0" w:color="E26B0A"/>
            </w:tcBorders>
            <w:shd w:val="clear" w:color="000000" w:fill="E26B0A"/>
            <w:noWrap/>
            <w:vAlign w:val="bottom"/>
            <w:hideMark/>
          </w:tcPr>
          <w:p w14:paraId="2058098C" w14:textId="77777777" w:rsidR="00EA45B1" w:rsidRPr="00EA45B1" w:rsidRDefault="00EA45B1" w:rsidP="00EA45B1">
            <w:pPr>
              <w:jc w:val="center"/>
              <w:rPr>
                <w:rFonts w:eastAsia="Times New Roman" w:cs="Calibri"/>
                <w:b/>
                <w:bCs/>
                <w:color w:val="FFFFFF"/>
                <w:sz w:val="20"/>
                <w:szCs w:val="20"/>
                <w:lang w:val="en-US"/>
              </w:rPr>
            </w:pPr>
            <w:r w:rsidRPr="00EA45B1">
              <w:rPr>
                <w:rFonts w:eastAsia="Times New Roman" w:cs="Calibri"/>
                <w:b/>
                <w:bCs/>
                <w:color w:val="FFFFFF"/>
                <w:sz w:val="20"/>
                <w:szCs w:val="20"/>
                <w:lang w:val="en-US"/>
              </w:rPr>
              <w:t>2021</w:t>
            </w:r>
          </w:p>
        </w:tc>
        <w:tc>
          <w:tcPr>
            <w:tcW w:w="1134" w:type="dxa"/>
            <w:tcBorders>
              <w:top w:val="double" w:sz="6" w:space="0" w:color="E26B0A"/>
              <w:left w:val="nil"/>
              <w:bottom w:val="double" w:sz="6" w:space="0" w:color="E26B0A"/>
              <w:right w:val="double" w:sz="6" w:space="0" w:color="E26B0A"/>
            </w:tcBorders>
            <w:shd w:val="clear" w:color="000000" w:fill="E26B0A"/>
            <w:noWrap/>
            <w:vAlign w:val="bottom"/>
            <w:hideMark/>
          </w:tcPr>
          <w:p w14:paraId="6C73083D" w14:textId="77777777" w:rsidR="00EA45B1" w:rsidRPr="00EA45B1" w:rsidRDefault="00EA45B1" w:rsidP="00EA45B1">
            <w:pPr>
              <w:jc w:val="center"/>
              <w:rPr>
                <w:rFonts w:eastAsia="Times New Roman" w:cs="Calibri"/>
                <w:b/>
                <w:bCs/>
                <w:color w:val="FFFFFF"/>
                <w:sz w:val="20"/>
                <w:szCs w:val="20"/>
                <w:lang w:val="en-US"/>
              </w:rPr>
            </w:pPr>
            <w:r w:rsidRPr="00EA45B1">
              <w:rPr>
                <w:rFonts w:eastAsia="Times New Roman" w:cs="Calibri"/>
                <w:b/>
                <w:bCs/>
                <w:color w:val="FFFFFF"/>
                <w:sz w:val="20"/>
                <w:szCs w:val="20"/>
                <w:lang w:val="en-US"/>
              </w:rPr>
              <w:t>2020</w:t>
            </w:r>
          </w:p>
        </w:tc>
      </w:tr>
      <w:tr w:rsidR="00EA45B1" w:rsidRPr="00EA45B1" w14:paraId="53AD9ECC" w14:textId="77777777" w:rsidTr="00F478A8">
        <w:trPr>
          <w:trHeight w:val="312"/>
        </w:trPr>
        <w:tc>
          <w:tcPr>
            <w:tcW w:w="6300" w:type="dxa"/>
            <w:tcBorders>
              <w:top w:val="nil"/>
              <w:left w:val="double" w:sz="6" w:space="0" w:color="E26B0A"/>
              <w:bottom w:val="double" w:sz="6" w:space="0" w:color="E26B0A"/>
              <w:right w:val="double" w:sz="6" w:space="0" w:color="E26B0A"/>
            </w:tcBorders>
            <w:shd w:val="clear" w:color="auto" w:fill="auto"/>
            <w:noWrap/>
            <w:vAlign w:val="bottom"/>
            <w:hideMark/>
          </w:tcPr>
          <w:p w14:paraId="43A380F8" w14:textId="77777777" w:rsidR="00EA45B1" w:rsidRPr="00EA45B1" w:rsidRDefault="00EA45B1" w:rsidP="00EA45B1">
            <w:pPr>
              <w:rPr>
                <w:rFonts w:eastAsia="Times New Roman" w:cs="Calibri"/>
                <w:sz w:val="20"/>
                <w:szCs w:val="20"/>
                <w:lang w:val="en-US"/>
              </w:rPr>
            </w:pPr>
            <w:r w:rsidRPr="00EA45B1">
              <w:rPr>
                <w:rFonts w:eastAsia="Times New Roman" w:cs="Calibri"/>
                <w:sz w:val="20"/>
                <w:szCs w:val="20"/>
                <w:lang w:val="en-US"/>
              </w:rPr>
              <w:t>Издръжка на едно лице от персонала</w:t>
            </w:r>
          </w:p>
        </w:tc>
        <w:tc>
          <w:tcPr>
            <w:tcW w:w="1355" w:type="dxa"/>
            <w:tcBorders>
              <w:top w:val="nil"/>
              <w:left w:val="nil"/>
              <w:bottom w:val="double" w:sz="6" w:space="0" w:color="E26B0A"/>
              <w:right w:val="double" w:sz="6" w:space="0" w:color="E26B0A"/>
            </w:tcBorders>
            <w:shd w:val="clear" w:color="000000" w:fill="FCD5B4"/>
            <w:noWrap/>
            <w:vAlign w:val="bottom"/>
            <w:hideMark/>
          </w:tcPr>
          <w:p w14:paraId="729774B8" w14:textId="77777777" w:rsidR="00EA45B1" w:rsidRPr="00EA45B1" w:rsidRDefault="00EA45B1" w:rsidP="00EA45B1">
            <w:pPr>
              <w:jc w:val="right"/>
              <w:rPr>
                <w:rFonts w:eastAsia="Times New Roman" w:cs="Calibri"/>
                <w:b/>
                <w:bCs/>
                <w:sz w:val="20"/>
                <w:szCs w:val="20"/>
                <w:lang w:val="en-US"/>
              </w:rPr>
            </w:pPr>
            <w:r w:rsidRPr="00EA45B1">
              <w:rPr>
                <w:rFonts w:eastAsia="Times New Roman" w:cs="Calibri"/>
                <w:b/>
                <w:bCs/>
                <w:sz w:val="20"/>
                <w:szCs w:val="20"/>
                <w:lang w:val="en-US"/>
              </w:rPr>
              <w:t>31 822,86</w:t>
            </w:r>
          </w:p>
        </w:tc>
        <w:tc>
          <w:tcPr>
            <w:tcW w:w="1134" w:type="dxa"/>
            <w:tcBorders>
              <w:top w:val="nil"/>
              <w:left w:val="nil"/>
              <w:bottom w:val="double" w:sz="6" w:space="0" w:color="E26B0A"/>
              <w:right w:val="double" w:sz="6" w:space="0" w:color="E26B0A"/>
            </w:tcBorders>
            <w:shd w:val="clear" w:color="000000" w:fill="FCD5B4"/>
            <w:noWrap/>
            <w:vAlign w:val="bottom"/>
            <w:hideMark/>
          </w:tcPr>
          <w:p w14:paraId="3765B3C0" w14:textId="77777777" w:rsidR="00EA45B1" w:rsidRPr="00EA45B1" w:rsidRDefault="00EA45B1" w:rsidP="00EA45B1">
            <w:pPr>
              <w:jc w:val="right"/>
              <w:rPr>
                <w:rFonts w:eastAsia="Times New Roman" w:cs="Calibri"/>
                <w:b/>
                <w:bCs/>
                <w:sz w:val="20"/>
                <w:szCs w:val="20"/>
                <w:lang w:val="en-US"/>
              </w:rPr>
            </w:pPr>
            <w:r w:rsidRPr="00EA45B1">
              <w:rPr>
                <w:rFonts w:eastAsia="Times New Roman" w:cs="Calibri"/>
                <w:b/>
                <w:bCs/>
                <w:sz w:val="20"/>
                <w:szCs w:val="20"/>
                <w:lang w:val="en-US"/>
              </w:rPr>
              <w:t>26 632,34</w:t>
            </w:r>
          </w:p>
        </w:tc>
      </w:tr>
      <w:tr w:rsidR="00EA45B1" w:rsidRPr="00EA45B1" w14:paraId="64289299" w14:textId="77777777" w:rsidTr="00F478A8">
        <w:trPr>
          <w:trHeight w:val="300"/>
        </w:trPr>
        <w:tc>
          <w:tcPr>
            <w:tcW w:w="6300" w:type="dxa"/>
            <w:tcBorders>
              <w:top w:val="nil"/>
              <w:left w:val="double" w:sz="6" w:space="0" w:color="E26B0A"/>
              <w:bottom w:val="double" w:sz="6" w:space="0" w:color="E26B0A"/>
              <w:right w:val="double" w:sz="6" w:space="0" w:color="E26B0A"/>
            </w:tcBorders>
            <w:shd w:val="clear" w:color="auto" w:fill="auto"/>
            <w:noWrap/>
            <w:vAlign w:val="bottom"/>
            <w:hideMark/>
          </w:tcPr>
          <w:p w14:paraId="46B1CDFA" w14:textId="77777777" w:rsidR="00EA45B1" w:rsidRPr="00EA45B1" w:rsidRDefault="00EA45B1" w:rsidP="00EA45B1">
            <w:pPr>
              <w:rPr>
                <w:rFonts w:eastAsia="Times New Roman" w:cs="Calibri"/>
                <w:sz w:val="20"/>
                <w:szCs w:val="20"/>
                <w:lang w:val="en-US"/>
              </w:rPr>
            </w:pPr>
            <w:r w:rsidRPr="00EA45B1">
              <w:rPr>
                <w:rFonts w:eastAsia="Times New Roman" w:cs="Calibri"/>
                <w:sz w:val="20"/>
                <w:szCs w:val="20"/>
                <w:lang w:val="en-US"/>
              </w:rPr>
              <w:t>Производителност на труда (спрямо нетни приходи от продажби)</w:t>
            </w:r>
          </w:p>
        </w:tc>
        <w:tc>
          <w:tcPr>
            <w:tcW w:w="1355" w:type="dxa"/>
            <w:tcBorders>
              <w:top w:val="nil"/>
              <w:left w:val="nil"/>
              <w:bottom w:val="double" w:sz="6" w:space="0" w:color="E26B0A"/>
              <w:right w:val="double" w:sz="6" w:space="0" w:color="E26B0A"/>
            </w:tcBorders>
            <w:shd w:val="clear" w:color="000000" w:fill="FCD5B4"/>
            <w:noWrap/>
            <w:vAlign w:val="bottom"/>
            <w:hideMark/>
          </w:tcPr>
          <w:p w14:paraId="2E37CFCE" w14:textId="77777777" w:rsidR="00EA45B1" w:rsidRPr="00EA45B1" w:rsidRDefault="00EA45B1" w:rsidP="00EA45B1">
            <w:pPr>
              <w:jc w:val="right"/>
              <w:rPr>
                <w:rFonts w:eastAsia="Times New Roman" w:cs="Calibri"/>
                <w:sz w:val="20"/>
                <w:szCs w:val="20"/>
                <w:lang w:val="en-US"/>
              </w:rPr>
            </w:pPr>
            <w:r w:rsidRPr="00EA45B1">
              <w:rPr>
                <w:rFonts w:eastAsia="Times New Roman" w:cs="Calibri"/>
                <w:sz w:val="20"/>
                <w:szCs w:val="20"/>
                <w:lang w:val="en-US"/>
              </w:rPr>
              <w:t>58 270,65</w:t>
            </w:r>
          </w:p>
        </w:tc>
        <w:tc>
          <w:tcPr>
            <w:tcW w:w="1134" w:type="dxa"/>
            <w:tcBorders>
              <w:top w:val="nil"/>
              <w:left w:val="nil"/>
              <w:bottom w:val="double" w:sz="6" w:space="0" w:color="E26B0A"/>
              <w:right w:val="double" w:sz="6" w:space="0" w:color="E26B0A"/>
            </w:tcBorders>
            <w:shd w:val="clear" w:color="000000" w:fill="FCD5B4"/>
            <w:noWrap/>
            <w:vAlign w:val="bottom"/>
            <w:hideMark/>
          </w:tcPr>
          <w:p w14:paraId="2E2BDF77" w14:textId="77777777" w:rsidR="00EA45B1" w:rsidRPr="00EA45B1" w:rsidRDefault="00EA45B1" w:rsidP="00EA45B1">
            <w:pPr>
              <w:jc w:val="right"/>
              <w:rPr>
                <w:rFonts w:eastAsia="Times New Roman" w:cs="Calibri"/>
                <w:sz w:val="20"/>
                <w:szCs w:val="20"/>
                <w:lang w:val="en-US"/>
              </w:rPr>
            </w:pPr>
            <w:r w:rsidRPr="00EA45B1">
              <w:rPr>
                <w:rFonts w:eastAsia="Times New Roman" w:cs="Calibri"/>
                <w:sz w:val="20"/>
                <w:szCs w:val="20"/>
                <w:lang w:val="en-US"/>
              </w:rPr>
              <w:t>47 962,37</w:t>
            </w:r>
          </w:p>
        </w:tc>
      </w:tr>
      <w:tr w:rsidR="00EA45B1" w:rsidRPr="00EA45B1" w14:paraId="6091966A" w14:textId="77777777" w:rsidTr="00F478A8">
        <w:trPr>
          <w:trHeight w:val="300"/>
        </w:trPr>
        <w:tc>
          <w:tcPr>
            <w:tcW w:w="6300" w:type="dxa"/>
            <w:tcBorders>
              <w:top w:val="nil"/>
              <w:left w:val="double" w:sz="6" w:space="0" w:color="E26B0A"/>
              <w:bottom w:val="double" w:sz="6" w:space="0" w:color="E26B0A"/>
              <w:right w:val="double" w:sz="6" w:space="0" w:color="E26B0A"/>
            </w:tcBorders>
            <w:shd w:val="clear" w:color="auto" w:fill="auto"/>
            <w:noWrap/>
            <w:vAlign w:val="bottom"/>
            <w:hideMark/>
          </w:tcPr>
          <w:p w14:paraId="038CE488" w14:textId="77777777" w:rsidR="00EA45B1" w:rsidRPr="00EA45B1" w:rsidRDefault="00EA45B1" w:rsidP="00EA45B1">
            <w:pPr>
              <w:rPr>
                <w:rFonts w:eastAsia="Times New Roman" w:cs="Calibri"/>
                <w:sz w:val="20"/>
                <w:szCs w:val="20"/>
                <w:lang w:val="en-US"/>
              </w:rPr>
            </w:pPr>
            <w:r w:rsidRPr="00EA45B1">
              <w:rPr>
                <w:rFonts w:eastAsia="Times New Roman" w:cs="Calibri"/>
                <w:sz w:val="20"/>
                <w:szCs w:val="20"/>
                <w:lang w:val="en-US"/>
              </w:rPr>
              <w:t>Рентабилност на труда (спрямо финансов резултат)</w:t>
            </w:r>
          </w:p>
        </w:tc>
        <w:tc>
          <w:tcPr>
            <w:tcW w:w="1355" w:type="dxa"/>
            <w:tcBorders>
              <w:top w:val="nil"/>
              <w:left w:val="nil"/>
              <w:bottom w:val="double" w:sz="6" w:space="0" w:color="E26B0A"/>
              <w:right w:val="double" w:sz="6" w:space="0" w:color="E26B0A"/>
            </w:tcBorders>
            <w:shd w:val="clear" w:color="000000" w:fill="FCD5B4"/>
            <w:noWrap/>
            <w:vAlign w:val="bottom"/>
            <w:hideMark/>
          </w:tcPr>
          <w:p w14:paraId="4F27ECED" w14:textId="77777777" w:rsidR="00EA45B1" w:rsidRPr="00EA45B1" w:rsidRDefault="00EA45B1" w:rsidP="00EA45B1">
            <w:pPr>
              <w:jc w:val="right"/>
              <w:rPr>
                <w:rFonts w:eastAsia="Times New Roman" w:cs="Calibri"/>
                <w:sz w:val="20"/>
                <w:szCs w:val="20"/>
                <w:lang w:val="en-US"/>
              </w:rPr>
            </w:pPr>
            <w:r w:rsidRPr="00EA45B1">
              <w:rPr>
                <w:rFonts w:eastAsia="Times New Roman" w:cs="Calibri"/>
                <w:sz w:val="20"/>
                <w:szCs w:val="20"/>
                <w:lang w:val="en-US"/>
              </w:rPr>
              <w:t>4 613,80</w:t>
            </w:r>
          </w:p>
        </w:tc>
        <w:tc>
          <w:tcPr>
            <w:tcW w:w="1134" w:type="dxa"/>
            <w:tcBorders>
              <w:top w:val="nil"/>
              <w:left w:val="nil"/>
              <w:bottom w:val="double" w:sz="6" w:space="0" w:color="E26B0A"/>
              <w:right w:val="double" w:sz="6" w:space="0" w:color="E26B0A"/>
            </w:tcBorders>
            <w:shd w:val="clear" w:color="000000" w:fill="FCD5B4"/>
            <w:noWrap/>
            <w:vAlign w:val="bottom"/>
            <w:hideMark/>
          </w:tcPr>
          <w:p w14:paraId="49B930CA" w14:textId="77777777" w:rsidR="00EA45B1" w:rsidRPr="00EA45B1" w:rsidRDefault="00EA45B1" w:rsidP="00EA45B1">
            <w:pPr>
              <w:jc w:val="right"/>
              <w:rPr>
                <w:rFonts w:eastAsia="Times New Roman" w:cs="Calibri"/>
                <w:sz w:val="20"/>
                <w:szCs w:val="20"/>
                <w:lang w:val="en-US"/>
              </w:rPr>
            </w:pPr>
            <w:r w:rsidRPr="00EA45B1">
              <w:rPr>
                <w:rFonts w:eastAsia="Times New Roman" w:cs="Calibri"/>
                <w:sz w:val="20"/>
                <w:szCs w:val="20"/>
                <w:lang w:val="en-US"/>
              </w:rPr>
              <w:t>2 245,11</w:t>
            </w:r>
          </w:p>
        </w:tc>
      </w:tr>
    </w:tbl>
    <w:p w14:paraId="39D22A5D" w14:textId="77777777" w:rsidR="00EA45B1" w:rsidRDefault="00EA45B1" w:rsidP="0022601F">
      <w:pPr>
        <w:pStyle w:val="BodyText"/>
        <w:ind w:right="180"/>
        <w:jc w:val="both"/>
        <w:rPr>
          <w:rFonts w:ascii="Calibri" w:eastAsia="Calibri" w:hAnsi="Calibri"/>
          <w:b/>
          <w:sz w:val="22"/>
          <w:szCs w:val="22"/>
        </w:rPr>
      </w:pPr>
    </w:p>
    <w:p w14:paraId="56EEFABE" w14:textId="42A541AF" w:rsidR="00EA2260" w:rsidRPr="00A85C03" w:rsidRDefault="00EA45B1" w:rsidP="008356A4">
      <w:pPr>
        <w:pStyle w:val="BodyText"/>
        <w:ind w:right="180"/>
        <w:jc w:val="both"/>
        <w:rPr>
          <w:rFonts w:ascii="Calibri" w:eastAsia="Calibri" w:hAnsi="Calibri"/>
          <w:b/>
          <w:color w:val="FF0000"/>
          <w:sz w:val="22"/>
          <w:szCs w:val="22"/>
        </w:rPr>
      </w:pPr>
      <w:r>
        <w:rPr>
          <w:noProof/>
          <w:lang w:eastAsia="bg-BG"/>
        </w:rPr>
        <w:drawing>
          <wp:inline distT="0" distB="0" distL="0" distR="0" wp14:anchorId="05F10D96" wp14:editId="5263E835">
            <wp:extent cx="5505450" cy="2918460"/>
            <wp:effectExtent l="57150" t="19050" r="57150" b="91440"/>
            <wp:docPr id="25" name="Chart 2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BAFF37B-29FE-4FCE-9821-2124E926112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29163C3E" w14:textId="77777777" w:rsidR="00EA2260" w:rsidRPr="00A85C03" w:rsidRDefault="00EA2260" w:rsidP="008356A4">
      <w:pPr>
        <w:pStyle w:val="BodyText"/>
        <w:ind w:right="180"/>
        <w:jc w:val="both"/>
        <w:rPr>
          <w:rFonts w:ascii="Calibri" w:eastAsia="Calibri" w:hAnsi="Calibri"/>
          <w:b/>
          <w:color w:val="FF0000"/>
          <w:sz w:val="22"/>
          <w:szCs w:val="22"/>
        </w:rPr>
      </w:pPr>
    </w:p>
    <w:p w14:paraId="5511DB9B" w14:textId="77777777" w:rsidR="00EA2260" w:rsidRPr="00A85C03" w:rsidRDefault="00EA2260" w:rsidP="008356A4">
      <w:pPr>
        <w:pStyle w:val="BodyText"/>
        <w:ind w:right="180"/>
        <w:jc w:val="both"/>
        <w:rPr>
          <w:rFonts w:ascii="Calibri" w:eastAsia="Calibri" w:hAnsi="Calibri"/>
          <w:b/>
          <w:color w:val="FF0000"/>
          <w:sz w:val="22"/>
          <w:szCs w:val="22"/>
        </w:rPr>
      </w:pPr>
    </w:p>
    <w:p w14:paraId="5CBC268B" w14:textId="77777777" w:rsidR="00B13ED1" w:rsidRPr="00F51E2A" w:rsidRDefault="00B13ED1" w:rsidP="002228B1">
      <w:pPr>
        <w:pStyle w:val="BodyText"/>
        <w:numPr>
          <w:ilvl w:val="0"/>
          <w:numId w:val="6"/>
        </w:numPr>
        <w:tabs>
          <w:tab w:val="num" w:pos="426"/>
        </w:tabs>
        <w:ind w:right="180"/>
        <w:jc w:val="both"/>
        <w:rPr>
          <w:rFonts w:ascii="Calibri" w:hAnsi="Calibri" w:cs="Calibri"/>
          <w:b/>
          <w:sz w:val="22"/>
          <w:szCs w:val="22"/>
        </w:rPr>
      </w:pPr>
      <w:r w:rsidRPr="00F51E2A">
        <w:rPr>
          <w:rFonts w:ascii="Calibri" w:hAnsi="Calibri" w:cs="Calibri"/>
          <w:b/>
          <w:sz w:val="22"/>
          <w:szCs w:val="22"/>
        </w:rPr>
        <w:lastRenderedPageBreak/>
        <w:t>Политика по опазване на околната среда</w:t>
      </w:r>
    </w:p>
    <w:p w14:paraId="391F7C56" w14:textId="77777777" w:rsidR="00B13ED1" w:rsidRPr="00F51E2A" w:rsidRDefault="00B13ED1" w:rsidP="00B13ED1">
      <w:pPr>
        <w:pStyle w:val="BodyText"/>
        <w:ind w:right="180"/>
        <w:jc w:val="both"/>
        <w:rPr>
          <w:rFonts w:ascii="Calibri" w:hAnsi="Calibri" w:cs="Calibri"/>
          <w:b/>
          <w:sz w:val="22"/>
          <w:szCs w:val="22"/>
        </w:rPr>
      </w:pPr>
    </w:p>
    <w:p w14:paraId="07F1C0EB" w14:textId="77777777" w:rsidR="000C10E5" w:rsidRPr="00F51E2A" w:rsidRDefault="000C10E5" w:rsidP="000C10E5">
      <w:pPr>
        <w:jc w:val="both"/>
        <w:rPr>
          <w:rFonts w:eastAsia="Times New Roman" w:cs="Calibri"/>
          <w:lang w:eastAsia="bg-BG"/>
        </w:rPr>
      </w:pPr>
      <w:r w:rsidRPr="00FD3526">
        <w:rPr>
          <w:color w:val="000000"/>
          <w:kern w:val="2"/>
        </w:rPr>
        <w:t>„</w:t>
      </w:r>
      <w:r w:rsidR="00907340">
        <w:rPr>
          <w:color w:val="000000"/>
          <w:kern w:val="2"/>
        </w:rPr>
        <w:t>ДКЦ Чайка</w:t>
      </w:r>
      <w:r w:rsidRPr="00FD3526">
        <w:rPr>
          <w:color w:val="000000"/>
          <w:kern w:val="2"/>
        </w:rPr>
        <w:t xml:space="preserve">” </w:t>
      </w:r>
      <w:r w:rsidR="00907340">
        <w:rPr>
          <w:color w:val="000000"/>
          <w:kern w:val="2"/>
        </w:rPr>
        <w:t>Е</w:t>
      </w:r>
      <w:r w:rsidR="009E1D2E">
        <w:rPr>
          <w:color w:val="000000"/>
          <w:kern w:val="2"/>
        </w:rPr>
        <w:t>ОО</w:t>
      </w:r>
      <w:r w:rsidRPr="00FD3526">
        <w:rPr>
          <w:color w:val="000000"/>
          <w:kern w:val="2"/>
        </w:rPr>
        <w:t>Д</w:t>
      </w:r>
      <w:r>
        <w:rPr>
          <w:color w:val="000000"/>
          <w:kern w:val="2"/>
        </w:rPr>
        <w:t xml:space="preserve"> </w:t>
      </w:r>
      <w:r w:rsidR="00B13ED1" w:rsidRPr="00F51E2A">
        <w:rPr>
          <w:rFonts w:eastAsia="Times New Roman" w:cs="Calibri"/>
          <w:lang w:eastAsia="bg-BG"/>
        </w:rPr>
        <w:t>полага усилия</w:t>
      </w:r>
      <w:r w:rsidRPr="000C10E5">
        <w:rPr>
          <w:rFonts w:eastAsia="Times New Roman" w:cs="Calibri"/>
          <w:lang w:eastAsia="bg-BG"/>
        </w:rPr>
        <w:t xml:space="preserve"> </w:t>
      </w:r>
      <w:r w:rsidRPr="00F51E2A">
        <w:rPr>
          <w:rFonts w:eastAsia="Times New Roman" w:cs="Calibri"/>
          <w:lang w:eastAsia="bg-BG"/>
        </w:rPr>
        <w:t>за п</w:t>
      </w:r>
      <w:r w:rsidRPr="000C10E5">
        <w:rPr>
          <w:rFonts w:eastAsia="Times New Roman" w:cs="Calibri"/>
          <w:lang w:eastAsia="bg-BG"/>
        </w:rPr>
        <w:t>остигане на непрекъснато подобрени</w:t>
      </w:r>
      <w:r>
        <w:rPr>
          <w:rFonts w:eastAsia="Times New Roman" w:cs="Calibri"/>
          <w:lang w:eastAsia="bg-BG"/>
        </w:rPr>
        <w:t xml:space="preserve">е на екологичните показатели и </w:t>
      </w:r>
      <w:r w:rsidRPr="000C10E5">
        <w:rPr>
          <w:rFonts w:eastAsia="Times New Roman" w:cs="Calibri"/>
          <w:lang w:eastAsia="bg-BG"/>
        </w:rPr>
        <w:t>резулта</w:t>
      </w:r>
      <w:r>
        <w:rPr>
          <w:rFonts w:eastAsia="Times New Roman" w:cs="Calibri"/>
          <w:lang w:eastAsia="bg-BG"/>
        </w:rPr>
        <w:t xml:space="preserve">тността си спрямо околната среда при при осъществяване на </w:t>
      </w:r>
      <w:r w:rsidRPr="000C10E5">
        <w:rPr>
          <w:rFonts w:eastAsia="Times New Roman" w:cs="Calibri"/>
          <w:lang w:eastAsia="bg-BG"/>
        </w:rPr>
        <w:t>дейност</w:t>
      </w:r>
      <w:r>
        <w:rPr>
          <w:rFonts w:eastAsia="Times New Roman" w:cs="Calibri"/>
          <w:lang w:eastAsia="bg-BG"/>
        </w:rPr>
        <w:t xml:space="preserve">та си, в производството и предлагането на стоки/ продукти / </w:t>
      </w:r>
      <w:r w:rsidRPr="000C10E5">
        <w:rPr>
          <w:rFonts w:eastAsia="Times New Roman" w:cs="Calibri"/>
          <w:lang w:eastAsia="bg-BG"/>
        </w:rPr>
        <w:t>услуги</w:t>
      </w:r>
    </w:p>
    <w:p w14:paraId="6082AA65" w14:textId="77777777" w:rsidR="000C10E5" w:rsidRPr="00F51E2A" w:rsidRDefault="000C10E5" w:rsidP="000C10E5">
      <w:pPr>
        <w:jc w:val="both"/>
        <w:rPr>
          <w:rFonts w:eastAsia="Times New Roman" w:cs="Calibri"/>
          <w:lang w:eastAsia="bg-BG"/>
        </w:rPr>
      </w:pPr>
    </w:p>
    <w:p w14:paraId="0FCFD948" w14:textId="77777777" w:rsidR="000C10E5" w:rsidRPr="00F51E2A" w:rsidRDefault="00B13ED1" w:rsidP="000C10E5">
      <w:pPr>
        <w:jc w:val="both"/>
        <w:rPr>
          <w:rFonts w:eastAsia="Times New Roman" w:cs="Calibri"/>
          <w:lang w:eastAsia="bg-BG"/>
        </w:rPr>
      </w:pPr>
      <w:r w:rsidRPr="00F51E2A">
        <w:rPr>
          <w:rFonts w:eastAsia="Times New Roman" w:cs="Calibri"/>
          <w:lang w:eastAsia="bg-BG"/>
        </w:rPr>
        <w:t xml:space="preserve">Основните </w:t>
      </w:r>
      <w:r w:rsidR="000C10E5" w:rsidRPr="00F51E2A">
        <w:rPr>
          <w:rFonts w:eastAsia="Times New Roman" w:cs="Calibri"/>
          <w:lang w:eastAsia="bg-BG"/>
        </w:rPr>
        <w:t xml:space="preserve">принципи и </w:t>
      </w:r>
      <w:r w:rsidRPr="00F51E2A">
        <w:rPr>
          <w:rFonts w:eastAsia="Times New Roman" w:cs="Calibri"/>
          <w:lang w:eastAsia="bg-BG"/>
        </w:rPr>
        <w:t>приоритети</w:t>
      </w:r>
      <w:r w:rsidR="000C10E5" w:rsidRPr="00F51E2A">
        <w:rPr>
          <w:rFonts w:eastAsia="Times New Roman" w:cs="Calibri"/>
          <w:lang w:eastAsia="bg-BG"/>
        </w:rPr>
        <w:t xml:space="preserve"> на политиката по опазване на околната среда</w:t>
      </w:r>
      <w:r w:rsidRPr="00F51E2A">
        <w:rPr>
          <w:rFonts w:eastAsia="Times New Roman" w:cs="Calibri"/>
          <w:lang w:eastAsia="bg-BG"/>
        </w:rPr>
        <w:t xml:space="preserve"> са: </w:t>
      </w:r>
    </w:p>
    <w:p w14:paraId="33CF6AE9" w14:textId="77777777" w:rsidR="005F6713" w:rsidRDefault="000C10E5" w:rsidP="002228B1">
      <w:pPr>
        <w:numPr>
          <w:ilvl w:val="0"/>
          <w:numId w:val="24"/>
        </w:numPr>
        <w:jc w:val="both"/>
        <w:rPr>
          <w:rFonts w:eastAsia="Times New Roman" w:cs="Calibri"/>
          <w:lang w:eastAsia="bg-BG"/>
        </w:rPr>
      </w:pPr>
      <w:r>
        <w:rPr>
          <w:rFonts w:eastAsia="Times New Roman" w:cs="Calibri"/>
          <w:lang w:eastAsia="bg-BG"/>
        </w:rPr>
        <w:t>оценка</w:t>
      </w:r>
      <w:r w:rsidRPr="000C10E5">
        <w:rPr>
          <w:rFonts w:eastAsia="Times New Roman" w:cs="Calibri"/>
          <w:lang w:eastAsia="bg-BG"/>
        </w:rPr>
        <w:t xml:space="preserve"> влиянието върху околната среда </w:t>
      </w:r>
      <w:r>
        <w:rPr>
          <w:rFonts w:eastAsia="Times New Roman" w:cs="Calibri"/>
          <w:lang w:eastAsia="bg-BG"/>
        </w:rPr>
        <w:t>на осъществяваните от дружеството</w:t>
      </w:r>
      <w:r w:rsidRPr="000C10E5">
        <w:rPr>
          <w:rFonts w:eastAsia="Times New Roman" w:cs="Calibri"/>
          <w:lang w:eastAsia="bg-BG"/>
        </w:rPr>
        <w:t xml:space="preserve"> дейности, </w:t>
      </w:r>
      <w:r w:rsidR="005F6713">
        <w:rPr>
          <w:rFonts w:eastAsia="Times New Roman" w:cs="Calibri"/>
          <w:lang w:eastAsia="bg-BG"/>
        </w:rPr>
        <w:t>предлаганите стоки /</w:t>
      </w:r>
      <w:r w:rsidRPr="000C10E5">
        <w:rPr>
          <w:rFonts w:eastAsia="Times New Roman" w:cs="Calibri"/>
          <w:lang w:eastAsia="bg-BG"/>
        </w:rPr>
        <w:t xml:space="preserve">продукти </w:t>
      </w:r>
      <w:r w:rsidR="005F6713">
        <w:rPr>
          <w:rFonts w:eastAsia="Times New Roman" w:cs="Calibri"/>
          <w:lang w:eastAsia="bg-BG"/>
        </w:rPr>
        <w:t>/ услуги;</w:t>
      </w:r>
    </w:p>
    <w:p w14:paraId="3745389F" w14:textId="77777777" w:rsidR="000C10E5" w:rsidRPr="000C10E5" w:rsidRDefault="005F6713" w:rsidP="002228B1">
      <w:pPr>
        <w:numPr>
          <w:ilvl w:val="0"/>
          <w:numId w:val="24"/>
        </w:numPr>
        <w:jc w:val="both"/>
        <w:rPr>
          <w:rFonts w:eastAsia="Times New Roman" w:cs="Calibri"/>
          <w:lang w:eastAsia="bg-BG"/>
        </w:rPr>
      </w:pPr>
      <w:r>
        <w:rPr>
          <w:rFonts w:eastAsia="Times New Roman" w:cs="Calibri"/>
          <w:lang w:eastAsia="bg-BG"/>
        </w:rPr>
        <w:t>съ</w:t>
      </w:r>
      <w:r w:rsidR="000C10E5" w:rsidRPr="000C10E5">
        <w:rPr>
          <w:rFonts w:eastAsia="Times New Roman" w:cs="Calibri"/>
          <w:lang w:eastAsia="bg-BG"/>
        </w:rPr>
        <w:t xml:space="preserve">ответствие с нормативните изисквания по опазване на околната среда, имащи отношение към дейностите и процесите на </w:t>
      </w:r>
      <w:r>
        <w:rPr>
          <w:rFonts w:eastAsia="Times New Roman" w:cs="Calibri"/>
          <w:lang w:eastAsia="bg-BG"/>
        </w:rPr>
        <w:t>дружеството и техните аспекти;</w:t>
      </w:r>
    </w:p>
    <w:p w14:paraId="759A0CA4" w14:textId="77777777" w:rsidR="000C10E5" w:rsidRPr="000C10E5" w:rsidRDefault="005F6713" w:rsidP="002228B1">
      <w:pPr>
        <w:numPr>
          <w:ilvl w:val="0"/>
          <w:numId w:val="24"/>
        </w:numPr>
        <w:jc w:val="both"/>
        <w:rPr>
          <w:rFonts w:eastAsia="Times New Roman" w:cs="Calibri"/>
          <w:lang w:eastAsia="bg-BG"/>
        </w:rPr>
      </w:pPr>
      <w:r>
        <w:rPr>
          <w:rFonts w:eastAsia="Times New Roman" w:cs="Calibri"/>
          <w:lang w:eastAsia="bg-BG"/>
        </w:rPr>
        <w:t xml:space="preserve">спазване на </w:t>
      </w:r>
      <w:r w:rsidR="000C10E5" w:rsidRPr="000C10E5">
        <w:rPr>
          <w:rFonts w:eastAsia="Times New Roman" w:cs="Calibri"/>
          <w:lang w:eastAsia="bg-BG"/>
        </w:rPr>
        <w:t>всички нормативни актове и вътрешни разпоредб</w:t>
      </w:r>
      <w:r>
        <w:rPr>
          <w:rFonts w:eastAsia="Times New Roman" w:cs="Calibri"/>
          <w:lang w:eastAsia="bg-BG"/>
        </w:rPr>
        <w:t>и за опазване на околната среда;</w:t>
      </w:r>
    </w:p>
    <w:p w14:paraId="31E3EA76" w14:textId="77777777" w:rsidR="000C10E5" w:rsidRPr="000C10E5" w:rsidRDefault="005F6713" w:rsidP="002228B1">
      <w:pPr>
        <w:numPr>
          <w:ilvl w:val="0"/>
          <w:numId w:val="24"/>
        </w:numPr>
        <w:jc w:val="both"/>
        <w:rPr>
          <w:rFonts w:eastAsia="Times New Roman" w:cs="Calibri"/>
          <w:lang w:eastAsia="bg-BG"/>
        </w:rPr>
      </w:pPr>
      <w:r>
        <w:rPr>
          <w:rFonts w:eastAsia="Times New Roman" w:cs="Calibri"/>
          <w:lang w:eastAsia="bg-BG"/>
        </w:rPr>
        <w:t xml:space="preserve">Следена на ключовите </w:t>
      </w:r>
      <w:r w:rsidR="000C10E5" w:rsidRPr="000C10E5">
        <w:rPr>
          <w:rFonts w:eastAsia="Times New Roman" w:cs="Calibri"/>
          <w:lang w:eastAsia="bg-BG"/>
        </w:rPr>
        <w:t>характеристики  на  процеси</w:t>
      </w:r>
      <w:r>
        <w:rPr>
          <w:rFonts w:eastAsia="Times New Roman" w:cs="Calibri"/>
          <w:lang w:eastAsia="bg-BG"/>
        </w:rPr>
        <w:t>те</w:t>
      </w:r>
      <w:r w:rsidR="000C10E5" w:rsidRPr="000C10E5">
        <w:rPr>
          <w:rFonts w:eastAsia="Times New Roman" w:cs="Calibri"/>
          <w:lang w:eastAsia="bg-BG"/>
        </w:rPr>
        <w:t xml:space="preserve">  и  дейности</w:t>
      </w:r>
      <w:r>
        <w:rPr>
          <w:rFonts w:eastAsia="Times New Roman" w:cs="Calibri"/>
          <w:lang w:eastAsia="bg-BG"/>
        </w:rPr>
        <w:t xml:space="preserve">те,  имащи  </w:t>
      </w:r>
      <w:r w:rsidR="000C10E5" w:rsidRPr="000C10E5">
        <w:rPr>
          <w:rFonts w:eastAsia="Times New Roman" w:cs="Calibri"/>
          <w:lang w:eastAsia="bg-BG"/>
        </w:rPr>
        <w:t>значимо въ</w:t>
      </w:r>
      <w:r>
        <w:rPr>
          <w:rFonts w:eastAsia="Times New Roman" w:cs="Calibri"/>
          <w:lang w:eastAsia="bg-BG"/>
        </w:rPr>
        <w:t xml:space="preserve">здействие върху околната среда и </w:t>
      </w:r>
      <w:r w:rsidR="000C10E5" w:rsidRPr="000C10E5">
        <w:rPr>
          <w:rFonts w:eastAsia="Times New Roman" w:cs="Calibri"/>
          <w:lang w:eastAsia="bg-BG"/>
        </w:rPr>
        <w:t>взема</w:t>
      </w:r>
      <w:r>
        <w:rPr>
          <w:rFonts w:eastAsia="Times New Roman" w:cs="Calibri"/>
          <w:lang w:eastAsia="bg-BG"/>
        </w:rPr>
        <w:t>не на</w:t>
      </w:r>
      <w:r w:rsidR="000C10E5" w:rsidRPr="000C10E5">
        <w:rPr>
          <w:rFonts w:eastAsia="Times New Roman" w:cs="Calibri"/>
          <w:lang w:eastAsia="bg-BG"/>
        </w:rPr>
        <w:t xml:space="preserve"> пре</w:t>
      </w:r>
      <w:r>
        <w:rPr>
          <w:rFonts w:eastAsia="Times New Roman" w:cs="Calibri"/>
          <w:lang w:eastAsia="bg-BG"/>
        </w:rPr>
        <w:t>дпазни мерки срещу потенциално замърсяване на околната среда;</w:t>
      </w:r>
    </w:p>
    <w:p w14:paraId="0FA68683" w14:textId="77777777" w:rsidR="000C10E5" w:rsidRPr="005F6713" w:rsidRDefault="005F6713" w:rsidP="002228B1">
      <w:pPr>
        <w:numPr>
          <w:ilvl w:val="0"/>
          <w:numId w:val="24"/>
        </w:numPr>
        <w:jc w:val="both"/>
        <w:rPr>
          <w:rFonts w:eastAsia="Times New Roman" w:cs="Calibri"/>
          <w:lang w:eastAsia="bg-BG"/>
        </w:rPr>
      </w:pPr>
      <w:r>
        <w:rPr>
          <w:rFonts w:eastAsia="Times New Roman" w:cs="Calibri"/>
          <w:lang w:eastAsia="bg-BG"/>
        </w:rPr>
        <w:t>п</w:t>
      </w:r>
      <w:r w:rsidR="000C10E5" w:rsidRPr="000C10E5">
        <w:rPr>
          <w:rFonts w:eastAsia="Times New Roman" w:cs="Calibri"/>
          <w:lang w:eastAsia="bg-BG"/>
        </w:rPr>
        <w:t>редставяне на пазара на е</w:t>
      </w:r>
      <w:r>
        <w:rPr>
          <w:rFonts w:eastAsia="Times New Roman" w:cs="Calibri"/>
          <w:lang w:eastAsia="bg-BG"/>
        </w:rPr>
        <w:t xml:space="preserve">кологично безопасни продукти и </w:t>
      </w:r>
      <w:r w:rsidR="000C10E5" w:rsidRPr="000C10E5">
        <w:rPr>
          <w:rFonts w:eastAsia="Times New Roman" w:cs="Calibri"/>
          <w:lang w:eastAsia="bg-BG"/>
        </w:rPr>
        <w:t>услуги, в които не с</w:t>
      </w:r>
      <w:r>
        <w:rPr>
          <w:rFonts w:eastAsia="Times New Roman" w:cs="Calibri"/>
          <w:lang w:eastAsia="bg-BG"/>
        </w:rPr>
        <w:t>е използват или се използват по-</w:t>
      </w:r>
      <w:r w:rsidR="000C10E5" w:rsidRPr="000C10E5">
        <w:rPr>
          <w:rFonts w:eastAsia="Times New Roman" w:cs="Calibri"/>
          <w:lang w:eastAsia="bg-BG"/>
        </w:rPr>
        <w:t>малко в</w:t>
      </w:r>
      <w:r>
        <w:rPr>
          <w:rFonts w:eastAsia="Times New Roman" w:cs="Calibri"/>
          <w:lang w:eastAsia="bg-BG"/>
        </w:rPr>
        <w:t>редни вещества, които изискват по-</w:t>
      </w:r>
      <w:r w:rsidR="000C10E5" w:rsidRPr="000C10E5">
        <w:rPr>
          <w:rFonts w:eastAsia="Times New Roman" w:cs="Calibri"/>
          <w:lang w:eastAsia="bg-BG"/>
        </w:rPr>
        <w:t>малко п</w:t>
      </w:r>
      <w:r>
        <w:rPr>
          <w:rFonts w:eastAsia="Times New Roman" w:cs="Calibri"/>
          <w:lang w:eastAsia="bg-BG"/>
        </w:rPr>
        <w:t>риродни ресурси и консумират по</w:t>
      </w:r>
      <w:r w:rsidR="000C10E5" w:rsidRPr="000C10E5">
        <w:rPr>
          <w:rFonts w:eastAsia="Times New Roman" w:cs="Calibri"/>
          <w:lang w:eastAsia="bg-BG"/>
        </w:rPr>
        <w:t>-</w:t>
      </w:r>
      <w:r w:rsidRPr="005F6713">
        <w:rPr>
          <w:rFonts w:eastAsia="Times New Roman" w:cs="Calibri"/>
          <w:lang w:eastAsia="bg-BG"/>
        </w:rPr>
        <w:t>малко е</w:t>
      </w:r>
      <w:r>
        <w:rPr>
          <w:rFonts w:eastAsia="Times New Roman" w:cs="Calibri"/>
          <w:lang w:eastAsia="bg-BG"/>
        </w:rPr>
        <w:t>нергия;</w:t>
      </w:r>
    </w:p>
    <w:p w14:paraId="02831AAC" w14:textId="77777777" w:rsidR="000C10E5" w:rsidRPr="000C10E5" w:rsidRDefault="000C10E5" w:rsidP="002228B1">
      <w:pPr>
        <w:numPr>
          <w:ilvl w:val="0"/>
          <w:numId w:val="24"/>
        </w:numPr>
        <w:jc w:val="both"/>
        <w:rPr>
          <w:rFonts w:eastAsia="Times New Roman" w:cs="Calibri"/>
          <w:lang w:eastAsia="bg-BG"/>
        </w:rPr>
      </w:pPr>
      <w:r w:rsidRPr="000C10E5">
        <w:rPr>
          <w:rFonts w:eastAsia="Times New Roman" w:cs="Calibri"/>
          <w:lang w:eastAsia="bg-BG"/>
        </w:rPr>
        <w:t>икономия на енергия, мате</w:t>
      </w:r>
      <w:r w:rsidR="005F6713">
        <w:rPr>
          <w:rFonts w:eastAsia="Times New Roman" w:cs="Calibri"/>
          <w:lang w:eastAsia="bg-BG"/>
        </w:rPr>
        <w:t>риали и хартия във всички дейности;</w:t>
      </w:r>
    </w:p>
    <w:p w14:paraId="7AA2EC1B" w14:textId="77777777" w:rsidR="000C10E5" w:rsidRPr="000C10E5" w:rsidRDefault="005F6713" w:rsidP="002228B1">
      <w:pPr>
        <w:numPr>
          <w:ilvl w:val="0"/>
          <w:numId w:val="24"/>
        </w:numPr>
        <w:jc w:val="both"/>
        <w:rPr>
          <w:rFonts w:eastAsia="Times New Roman" w:cs="Calibri"/>
          <w:lang w:eastAsia="bg-BG"/>
        </w:rPr>
      </w:pPr>
      <w:r>
        <w:rPr>
          <w:rFonts w:eastAsia="Times New Roman" w:cs="Calibri"/>
          <w:lang w:eastAsia="bg-BG"/>
        </w:rPr>
        <w:t xml:space="preserve">ефективно управление на генерираните отпадъци, </w:t>
      </w:r>
      <w:r w:rsidR="000C10E5" w:rsidRPr="000C10E5">
        <w:rPr>
          <w:rFonts w:eastAsia="Times New Roman" w:cs="Calibri"/>
          <w:lang w:eastAsia="bg-BG"/>
        </w:rPr>
        <w:t>намаляване</w:t>
      </w:r>
      <w:r>
        <w:rPr>
          <w:rFonts w:eastAsia="Times New Roman" w:cs="Calibri"/>
          <w:lang w:eastAsia="bg-BG"/>
        </w:rPr>
        <w:t>то</w:t>
      </w:r>
      <w:r w:rsidR="000C10E5" w:rsidRPr="000C10E5">
        <w:rPr>
          <w:rFonts w:eastAsia="Times New Roman" w:cs="Calibri"/>
          <w:lang w:eastAsia="bg-BG"/>
        </w:rPr>
        <w:t xml:space="preserve"> и </w:t>
      </w:r>
      <w:r>
        <w:rPr>
          <w:rFonts w:eastAsia="Times New Roman" w:cs="Calibri"/>
          <w:lang w:eastAsia="bg-BG"/>
        </w:rPr>
        <w:t>рециклирането им;</w:t>
      </w:r>
    </w:p>
    <w:p w14:paraId="5748CDC8" w14:textId="77777777" w:rsidR="000C10E5" w:rsidRPr="000C10E5" w:rsidRDefault="000C10E5" w:rsidP="002228B1">
      <w:pPr>
        <w:numPr>
          <w:ilvl w:val="0"/>
          <w:numId w:val="24"/>
        </w:numPr>
        <w:jc w:val="both"/>
        <w:rPr>
          <w:rFonts w:eastAsia="Times New Roman" w:cs="Calibri"/>
          <w:lang w:eastAsia="bg-BG"/>
        </w:rPr>
      </w:pPr>
      <w:r w:rsidRPr="000C10E5">
        <w:rPr>
          <w:rFonts w:eastAsia="Times New Roman" w:cs="Calibri"/>
          <w:lang w:eastAsia="bg-BG"/>
        </w:rPr>
        <w:t xml:space="preserve">ангажираността и съпричастността на </w:t>
      </w:r>
      <w:r w:rsidR="005F6713">
        <w:rPr>
          <w:rFonts w:eastAsia="Times New Roman" w:cs="Calibri"/>
          <w:lang w:eastAsia="bg-BG"/>
        </w:rPr>
        <w:t xml:space="preserve">работещите в дружестовото по отношение на </w:t>
      </w:r>
      <w:r w:rsidRPr="000C10E5">
        <w:rPr>
          <w:rFonts w:eastAsia="Times New Roman" w:cs="Calibri"/>
          <w:lang w:eastAsia="bg-BG"/>
        </w:rPr>
        <w:t>политик</w:t>
      </w:r>
      <w:r w:rsidR="005F6713">
        <w:rPr>
          <w:rFonts w:eastAsia="Times New Roman" w:cs="Calibri"/>
          <w:lang w:eastAsia="bg-BG"/>
        </w:rPr>
        <w:t>а за опазване на околната среда;</w:t>
      </w:r>
    </w:p>
    <w:p w14:paraId="1F0B59E2" w14:textId="77777777" w:rsidR="000C10E5" w:rsidRPr="000C10E5" w:rsidRDefault="000C10E5" w:rsidP="002228B1">
      <w:pPr>
        <w:numPr>
          <w:ilvl w:val="0"/>
          <w:numId w:val="24"/>
        </w:numPr>
        <w:jc w:val="both"/>
        <w:rPr>
          <w:rFonts w:eastAsia="Times New Roman" w:cs="Calibri"/>
          <w:lang w:eastAsia="bg-BG"/>
        </w:rPr>
      </w:pPr>
      <w:r w:rsidRPr="000C10E5">
        <w:rPr>
          <w:rFonts w:eastAsia="Times New Roman" w:cs="Calibri"/>
          <w:lang w:eastAsia="bg-BG"/>
        </w:rPr>
        <w:t>обучени</w:t>
      </w:r>
      <w:r w:rsidR="005F6713">
        <w:rPr>
          <w:rFonts w:eastAsia="Times New Roman" w:cs="Calibri"/>
          <w:lang w:eastAsia="bg-BG"/>
        </w:rPr>
        <w:t>е  и  засилване  на  персонална</w:t>
      </w:r>
      <w:r w:rsidRPr="000C10E5">
        <w:rPr>
          <w:rFonts w:eastAsia="Times New Roman" w:cs="Calibri"/>
          <w:lang w:eastAsia="bg-BG"/>
        </w:rPr>
        <w:t>т</w:t>
      </w:r>
      <w:r w:rsidR="005F6713">
        <w:rPr>
          <w:rFonts w:eastAsia="Times New Roman" w:cs="Calibri"/>
          <w:lang w:eastAsia="bg-BG"/>
        </w:rPr>
        <w:t xml:space="preserve">а  отговорност на работещите </w:t>
      </w:r>
      <w:r w:rsidRPr="000C10E5">
        <w:rPr>
          <w:rFonts w:eastAsia="Times New Roman" w:cs="Calibri"/>
          <w:lang w:eastAsia="bg-BG"/>
        </w:rPr>
        <w:t>към опазване на околната среда</w:t>
      </w:r>
      <w:r w:rsidR="005F6713">
        <w:rPr>
          <w:rFonts w:eastAsia="Times New Roman" w:cs="Calibri"/>
          <w:lang w:eastAsia="bg-BG"/>
        </w:rPr>
        <w:t>;</w:t>
      </w:r>
    </w:p>
    <w:p w14:paraId="1183FFFB" w14:textId="77777777" w:rsidR="005F6713" w:rsidRDefault="000C10E5" w:rsidP="002228B1">
      <w:pPr>
        <w:numPr>
          <w:ilvl w:val="0"/>
          <w:numId w:val="24"/>
        </w:numPr>
        <w:jc w:val="both"/>
        <w:rPr>
          <w:rFonts w:eastAsia="Times New Roman" w:cs="Calibri"/>
          <w:lang w:eastAsia="bg-BG"/>
        </w:rPr>
      </w:pPr>
      <w:r w:rsidRPr="000C10E5">
        <w:rPr>
          <w:rFonts w:eastAsia="Times New Roman" w:cs="Calibri"/>
          <w:lang w:eastAsia="bg-BG"/>
        </w:rPr>
        <w:t>популяризация на концепцията за</w:t>
      </w:r>
      <w:r w:rsidR="005F6713">
        <w:rPr>
          <w:rFonts w:eastAsia="Times New Roman" w:cs="Calibri"/>
          <w:lang w:eastAsia="bg-BG"/>
        </w:rPr>
        <w:t xml:space="preserve"> „зелена околна среда” сред персонала, </w:t>
      </w:r>
      <w:r w:rsidRPr="000C10E5">
        <w:rPr>
          <w:rFonts w:eastAsia="Times New Roman" w:cs="Calibri"/>
          <w:lang w:eastAsia="bg-BG"/>
        </w:rPr>
        <w:t>клиент</w:t>
      </w:r>
      <w:r w:rsidR="005F6713">
        <w:rPr>
          <w:rFonts w:eastAsia="Times New Roman" w:cs="Calibri"/>
          <w:lang w:eastAsia="bg-BG"/>
        </w:rPr>
        <w:t>ите и доставчиците на дружеството.</w:t>
      </w:r>
    </w:p>
    <w:p w14:paraId="10000199" w14:textId="77777777" w:rsidR="005F6713" w:rsidRDefault="005F6713" w:rsidP="005F6713">
      <w:pPr>
        <w:jc w:val="both"/>
        <w:rPr>
          <w:rFonts w:eastAsia="Times New Roman" w:cs="Calibri"/>
          <w:lang w:eastAsia="bg-BG"/>
        </w:rPr>
      </w:pPr>
    </w:p>
    <w:p w14:paraId="6B4A1402" w14:textId="3A267183" w:rsidR="00B14522" w:rsidRDefault="001614F5" w:rsidP="009178D4">
      <w:pPr>
        <w:ind w:left="180" w:right="180"/>
        <w:jc w:val="both"/>
        <w:rPr>
          <w:lang w:val="be-BY"/>
        </w:rPr>
      </w:pPr>
      <w:r>
        <w:rPr>
          <w:rFonts w:eastAsia="Times New Roman" w:cs="Calibri"/>
          <w:lang w:eastAsia="bg-BG"/>
        </w:rPr>
        <w:t xml:space="preserve">Всички данни и стойности, използвани при изчисление на финансовите и нефинансовите показатели са представени в годишния финансов отчет на  </w:t>
      </w:r>
      <w:r w:rsidR="00907340" w:rsidRPr="00FD3526">
        <w:rPr>
          <w:color w:val="000000"/>
          <w:kern w:val="2"/>
        </w:rPr>
        <w:t>„</w:t>
      </w:r>
      <w:r w:rsidR="00907340">
        <w:rPr>
          <w:color w:val="000000"/>
          <w:kern w:val="2"/>
        </w:rPr>
        <w:t>ДКЦ Чайка</w:t>
      </w:r>
      <w:r w:rsidR="00907340" w:rsidRPr="00FD3526">
        <w:rPr>
          <w:color w:val="000000"/>
          <w:kern w:val="2"/>
        </w:rPr>
        <w:t xml:space="preserve">” </w:t>
      </w:r>
      <w:r w:rsidR="00907340">
        <w:rPr>
          <w:color w:val="000000"/>
          <w:kern w:val="2"/>
        </w:rPr>
        <w:t>ЕОО</w:t>
      </w:r>
      <w:r w:rsidR="00907340" w:rsidRPr="00FD3526">
        <w:rPr>
          <w:color w:val="000000"/>
          <w:kern w:val="2"/>
        </w:rPr>
        <w:t>Д</w:t>
      </w:r>
      <w:r>
        <w:rPr>
          <w:color w:val="000000"/>
          <w:kern w:val="2"/>
        </w:rPr>
        <w:t xml:space="preserve"> за </w:t>
      </w:r>
      <w:r w:rsidR="00487716">
        <w:rPr>
          <w:color w:val="000000"/>
          <w:kern w:val="2"/>
        </w:rPr>
        <w:t xml:space="preserve">2021 </w:t>
      </w:r>
      <w:r>
        <w:rPr>
          <w:color w:val="000000"/>
          <w:kern w:val="2"/>
        </w:rPr>
        <w:t xml:space="preserve">г. и всички от </w:t>
      </w:r>
      <w:r w:rsidRPr="007D5DAB">
        <w:rPr>
          <w:lang w:val="be-BY"/>
        </w:rPr>
        <w:t>съществено значение разяснения</w:t>
      </w:r>
      <w:r>
        <w:rPr>
          <w:lang w:val="be-BY"/>
        </w:rPr>
        <w:t xml:space="preserve"> по отношение на сумите на разходите</w:t>
      </w:r>
      <w:r w:rsidRPr="007D5DAB">
        <w:rPr>
          <w:lang w:val="be-BY"/>
        </w:rPr>
        <w:t xml:space="preserve"> са оповестени в приложението към годишния финансов отчет.</w:t>
      </w:r>
    </w:p>
    <w:p w14:paraId="6FDD8787" w14:textId="77777777" w:rsidR="00A85C03" w:rsidRDefault="00A85C03" w:rsidP="009178D4">
      <w:pPr>
        <w:ind w:left="180" w:right="180"/>
        <w:jc w:val="both"/>
        <w:rPr>
          <w:rFonts w:eastAsia="Times New Roman" w:cs="Calibri"/>
          <w:lang w:eastAsia="bg-BG"/>
        </w:rPr>
      </w:pPr>
    </w:p>
    <w:p w14:paraId="13EE913B" w14:textId="77777777" w:rsidR="00822440" w:rsidRPr="00316233" w:rsidRDefault="0074615C" w:rsidP="002228B1">
      <w:pPr>
        <w:pStyle w:val="NoSpacing"/>
        <w:shd w:val="clear" w:color="auto" w:fill="E36C0A"/>
        <w:autoSpaceDE w:val="0"/>
        <w:autoSpaceDN w:val="0"/>
        <w:adjustRightInd w:val="0"/>
        <w:jc w:val="both"/>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pPr>
      <w:r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IV. </w:t>
      </w:r>
      <w:r w:rsidR="00822440"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НАУЧНОИЗСЛЕДОВАТЕЛСКА И РАЗВОЙНА ДЕЙНОСТ</w:t>
      </w:r>
      <w:r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00C222B8"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съгл. </w:t>
      </w:r>
      <w:r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чл. 39, т.5 от ЗС)</w:t>
      </w:r>
    </w:p>
    <w:p w14:paraId="42464BB1" w14:textId="77777777" w:rsidR="00A35A1A" w:rsidRDefault="00A35A1A" w:rsidP="00822440">
      <w:pPr>
        <w:tabs>
          <w:tab w:val="left" w:pos="0"/>
        </w:tabs>
        <w:ind w:right="180"/>
        <w:jc w:val="both"/>
        <w:rPr>
          <w:lang w:val="en-US"/>
        </w:rPr>
      </w:pPr>
    </w:p>
    <w:p w14:paraId="1DD2952D" w14:textId="3B0FD1D4" w:rsidR="00822440" w:rsidRPr="006623F6" w:rsidRDefault="00822440" w:rsidP="00822440">
      <w:pPr>
        <w:tabs>
          <w:tab w:val="left" w:pos="0"/>
        </w:tabs>
        <w:ind w:right="180"/>
        <w:jc w:val="both"/>
      </w:pPr>
      <w:r w:rsidRPr="006623F6">
        <w:t xml:space="preserve">През </w:t>
      </w:r>
      <w:r w:rsidR="00487716">
        <w:t>2021</w:t>
      </w:r>
      <w:r>
        <w:t xml:space="preserve"> </w:t>
      </w:r>
      <w:r w:rsidRPr="006623F6">
        <w:t xml:space="preserve">г. </w:t>
      </w:r>
      <w:r w:rsidR="00907340" w:rsidRPr="00FD3526">
        <w:rPr>
          <w:color w:val="000000"/>
          <w:kern w:val="2"/>
        </w:rPr>
        <w:t>„</w:t>
      </w:r>
      <w:r w:rsidR="00907340">
        <w:rPr>
          <w:color w:val="000000"/>
          <w:kern w:val="2"/>
        </w:rPr>
        <w:t>ДКЦ Чайка</w:t>
      </w:r>
      <w:r w:rsidR="00907340" w:rsidRPr="00FD3526">
        <w:rPr>
          <w:color w:val="000000"/>
          <w:kern w:val="2"/>
        </w:rPr>
        <w:t xml:space="preserve">” </w:t>
      </w:r>
      <w:r w:rsidR="00907340">
        <w:rPr>
          <w:color w:val="000000"/>
          <w:kern w:val="2"/>
        </w:rPr>
        <w:t>ЕОО</w:t>
      </w:r>
      <w:r w:rsidR="00907340" w:rsidRPr="00FD3526">
        <w:rPr>
          <w:color w:val="000000"/>
          <w:kern w:val="2"/>
        </w:rPr>
        <w:t>Д</w:t>
      </w:r>
      <w:r w:rsidR="00907340">
        <w:rPr>
          <w:color w:val="000000"/>
          <w:kern w:val="2"/>
        </w:rPr>
        <w:t xml:space="preserve"> </w:t>
      </w:r>
      <w:r w:rsidR="00E4259A">
        <w:rPr>
          <w:color w:val="000000"/>
          <w:kern w:val="2"/>
        </w:rPr>
        <w:t xml:space="preserve"> </w:t>
      </w:r>
      <w:r w:rsidRPr="006623F6">
        <w:t>не е  развивало действия, свързани с научноизследователската и развойна дейност</w:t>
      </w:r>
      <w:r w:rsidR="00907340">
        <w:t>.</w:t>
      </w:r>
    </w:p>
    <w:p w14:paraId="32B1AAF4" w14:textId="77777777" w:rsidR="00822440" w:rsidRPr="006623F6" w:rsidRDefault="00822440" w:rsidP="00822440">
      <w:pPr>
        <w:tabs>
          <w:tab w:val="left" w:pos="0"/>
        </w:tabs>
        <w:ind w:left="180" w:right="180"/>
        <w:jc w:val="both"/>
      </w:pPr>
    </w:p>
    <w:p w14:paraId="64F810AE" w14:textId="77777777" w:rsidR="00164295" w:rsidRPr="00316233" w:rsidRDefault="0074615C" w:rsidP="002228B1">
      <w:pPr>
        <w:pStyle w:val="NoSpacing"/>
        <w:shd w:val="clear" w:color="auto" w:fill="E36C0A"/>
        <w:autoSpaceDE w:val="0"/>
        <w:autoSpaceDN w:val="0"/>
        <w:adjustRightInd w:val="0"/>
        <w:jc w:val="both"/>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pPr>
      <w:r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V. </w:t>
      </w:r>
      <w:r w:rsidR="00164295"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ВАЖНИ СЪБИТИЯ, КОИТО СА НАСТЪПИЛИ СЛЕД ДАТАТА, КЪМ КОЯТО Е СЪСТАВЕН ГОДИШНИЯТ ФИНАНСОВ ОТЧЕТ</w:t>
      </w:r>
      <w:r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00C222B8"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съгл. </w:t>
      </w:r>
      <w:r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чл. 39, т. 3 от ЗС)</w:t>
      </w:r>
    </w:p>
    <w:p w14:paraId="1BA4CC56" w14:textId="77777777" w:rsidR="00164295" w:rsidRPr="006623F6" w:rsidRDefault="00164295" w:rsidP="00164295">
      <w:pPr>
        <w:tabs>
          <w:tab w:val="left" w:pos="0"/>
        </w:tabs>
        <w:ind w:right="114" w:firstLine="180"/>
        <w:jc w:val="both"/>
      </w:pPr>
    </w:p>
    <w:p w14:paraId="1C3FD304" w14:textId="1469EF6D" w:rsidR="00EC5CE2" w:rsidRPr="00E4259A" w:rsidRDefault="00164295" w:rsidP="00907340">
      <w:pPr>
        <w:tabs>
          <w:tab w:val="left" w:pos="0"/>
        </w:tabs>
        <w:ind w:right="180"/>
        <w:jc w:val="both"/>
        <w:rPr>
          <w:lang w:val="be-BY"/>
        </w:rPr>
      </w:pPr>
      <w:r w:rsidRPr="006623F6">
        <w:t>След съставянето на Годишния финансов отче</w:t>
      </w:r>
      <w:r>
        <w:t xml:space="preserve">т за отчетната </w:t>
      </w:r>
      <w:r w:rsidR="00487716">
        <w:t>2021</w:t>
      </w:r>
      <w:r>
        <w:t>г.</w:t>
      </w:r>
      <w:r w:rsidRPr="006623F6">
        <w:t xml:space="preserve"> в</w:t>
      </w:r>
      <w:r w:rsidR="00907340">
        <w:t xml:space="preserve"> </w:t>
      </w:r>
      <w:r w:rsidR="00907340" w:rsidRPr="00FD3526">
        <w:rPr>
          <w:color w:val="000000"/>
          <w:kern w:val="2"/>
        </w:rPr>
        <w:t>„</w:t>
      </w:r>
      <w:r w:rsidR="00907340">
        <w:rPr>
          <w:color w:val="000000"/>
          <w:kern w:val="2"/>
        </w:rPr>
        <w:t>ДКЦ Чайка</w:t>
      </w:r>
      <w:r w:rsidR="00907340" w:rsidRPr="00FD3526">
        <w:rPr>
          <w:color w:val="000000"/>
          <w:kern w:val="2"/>
        </w:rPr>
        <w:t xml:space="preserve">” </w:t>
      </w:r>
      <w:r w:rsidR="00907340">
        <w:rPr>
          <w:color w:val="000000"/>
          <w:kern w:val="2"/>
        </w:rPr>
        <w:t>ЕОО</w:t>
      </w:r>
      <w:r w:rsidR="00907340" w:rsidRPr="00FD3526">
        <w:rPr>
          <w:color w:val="000000"/>
          <w:kern w:val="2"/>
        </w:rPr>
        <w:t>Д</w:t>
      </w:r>
      <w:r w:rsidR="00E4259A">
        <w:rPr>
          <w:color w:val="000000"/>
          <w:kern w:val="2"/>
        </w:rPr>
        <w:t xml:space="preserve"> </w:t>
      </w:r>
      <w:r w:rsidRPr="006623F6">
        <w:t>не са настъпили  важни събития</w:t>
      </w:r>
      <w:r w:rsidR="00907340">
        <w:t>.</w:t>
      </w:r>
    </w:p>
    <w:p w14:paraId="578EF6C6" w14:textId="77777777" w:rsidR="00EC5CE2" w:rsidRDefault="00EC5CE2" w:rsidP="004A0CAD">
      <w:pPr>
        <w:jc w:val="both"/>
        <w:rPr>
          <w:rFonts w:eastAsia="Times New Roman" w:cs="Calibri"/>
          <w:lang w:eastAsia="bg-BG"/>
        </w:rPr>
      </w:pPr>
    </w:p>
    <w:p w14:paraId="229DFE38" w14:textId="10F42DB8" w:rsidR="00965ADD" w:rsidRPr="00316233" w:rsidRDefault="00965ADD" w:rsidP="002228B1">
      <w:pPr>
        <w:pStyle w:val="NoSpacing"/>
        <w:shd w:val="clear" w:color="auto" w:fill="E36C0A"/>
        <w:autoSpaceDE w:val="0"/>
        <w:autoSpaceDN w:val="0"/>
        <w:adjustRightInd w:val="0"/>
        <w:jc w:val="both"/>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pPr>
      <w:r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VI. ИНФОРМАЦИЯ ЗА СКЛЮЧЕНИ СЪЩЕСТВЕНИ СДЕЛКИ (</w:t>
      </w:r>
      <w:r w:rsidR="00C222B8"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съгл. </w:t>
      </w:r>
      <w:r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т. 3 от Приложение № </w:t>
      </w:r>
      <w:r w:rsidR="000D55FF">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2</w:t>
      </w:r>
      <w:r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w:t>
      </w:r>
    </w:p>
    <w:p w14:paraId="222E8097" w14:textId="77777777" w:rsidR="004A0CAD" w:rsidRDefault="004A0CAD" w:rsidP="00164295">
      <w:pPr>
        <w:jc w:val="both"/>
        <w:rPr>
          <w:rFonts w:eastAsia="Times New Roman" w:cs="Calibri"/>
          <w:lang w:eastAsia="bg-BG"/>
        </w:rPr>
      </w:pPr>
    </w:p>
    <w:p w14:paraId="6D07D6F4" w14:textId="51411A32" w:rsidR="000F480E" w:rsidRPr="00907340" w:rsidRDefault="00587A90" w:rsidP="00907340">
      <w:pPr>
        <w:tabs>
          <w:tab w:val="left" w:pos="0"/>
        </w:tabs>
        <w:ind w:right="180"/>
        <w:jc w:val="both"/>
      </w:pPr>
      <w:r>
        <w:t>През</w:t>
      </w:r>
      <w:r w:rsidR="000F480E">
        <w:t xml:space="preserve"> отчетната </w:t>
      </w:r>
      <w:r w:rsidR="00487716">
        <w:t>2021</w:t>
      </w:r>
      <w:r w:rsidR="000F480E">
        <w:t>г.</w:t>
      </w:r>
      <w:r w:rsidR="000F480E" w:rsidRPr="006623F6">
        <w:t xml:space="preserve"> в</w:t>
      </w:r>
      <w:r w:rsidR="00907340">
        <w:t xml:space="preserve"> </w:t>
      </w:r>
      <w:r w:rsidR="000F480E" w:rsidRPr="006623F6">
        <w:t xml:space="preserve"> </w:t>
      </w:r>
      <w:r w:rsidR="00907340" w:rsidRPr="00FD3526">
        <w:rPr>
          <w:color w:val="000000"/>
          <w:kern w:val="2"/>
        </w:rPr>
        <w:t>„</w:t>
      </w:r>
      <w:r w:rsidR="00907340">
        <w:rPr>
          <w:color w:val="000000"/>
          <w:kern w:val="2"/>
        </w:rPr>
        <w:t>ДКЦ Чайка</w:t>
      </w:r>
      <w:r w:rsidR="00907340" w:rsidRPr="00FD3526">
        <w:rPr>
          <w:color w:val="000000"/>
          <w:kern w:val="2"/>
        </w:rPr>
        <w:t xml:space="preserve">” </w:t>
      </w:r>
      <w:r w:rsidR="00907340">
        <w:rPr>
          <w:color w:val="000000"/>
          <w:kern w:val="2"/>
        </w:rPr>
        <w:t>ЕОО</w:t>
      </w:r>
      <w:r w:rsidR="00907340" w:rsidRPr="00FD3526">
        <w:rPr>
          <w:color w:val="000000"/>
          <w:kern w:val="2"/>
        </w:rPr>
        <w:t>Д</w:t>
      </w:r>
      <w:r w:rsidR="00907340">
        <w:rPr>
          <w:color w:val="000000"/>
          <w:kern w:val="2"/>
        </w:rPr>
        <w:t xml:space="preserve"> </w:t>
      </w:r>
      <w:r w:rsidR="000F480E">
        <w:rPr>
          <w:color w:val="000000"/>
          <w:kern w:val="2"/>
        </w:rPr>
        <w:t xml:space="preserve"> </w:t>
      </w:r>
      <w:r w:rsidR="000F480E" w:rsidRPr="006623F6">
        <w:t xml:space="preserve">не </w:t>
      </w:r>
      <w:r w:rsidR="00E4259A">
        <w:t>е</w:t>
      </w:r>
      <w:r w:rsidR="000F480E" w:rsidRPr="006623F6">
        <w:t xml:space="preserve">  </w:t>
      </w:r>
      <w:r>
        <w:t>сключил</w:t>
      </w:r>
      <w:r w:rsidR="00E4259A">
        <w:t>о</w:t>
      </w:r>
      <w:r w:rsidR="000F480E" w:rsidRPr="006623F6">
        <w:t xml:space="preserve"> </w:t>
      </w:r>
      <w:r>
        <w:t>съществени сделки</w:t>
      </w:r>
      <w:r w:rsidR="00907340">
        <w:t>.</w:t>
      </w:r>
    </w:p>
    <w:p w14:paraId="60CE2E06" w14:textId="77777777" w:rsidR="00587A90" w:rsidRDefault="00587A90" w:rsidP="000F480E">
      <w:pPr>
        <w:jc w:val="both"/>
        <w:rPr>
          <w:lang w:val="be-BY"/>
        </w:rPr>
      </w:pPr>
    </w:p>
    <w:p w14:paraId="60C87EDC" w14:textId="77777777" w:rsidR="00E4259A" w:rsidRDefault="00E4259A" w:rsidP="000F480E">
      <w:pPr>
        <w:jc w:val="both"/>
        <w:rPr>
          <w:lang w:val="be-BY"/>
        </w:rPr>
      </w:pPr>
    </w:p>
    <w:p w14:paraId="06B7A03B" w14:textId="6D1381EF" w:rsidR="00587A90" w:rsidRPr="00316233" w:rsidRDefault="00587A90" w:rsidP="002228B1">
      <w:pPr>
        <w:pStyle w:val="NoSpacing"/>
        <w:shd w:val="clear" w:color="auto" w:fill="E36C0A"/>
        <w:autoSpaceDE w:val="0"/>
        <w:autoSpaceDN w:val="0"/>
        <w:adjustRightInd w:val="0"/>
        <w:jc w:val="both"/>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pPr>
      <w:r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V</w:t>
      </w:r>
      <w:r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I</w:t>
      </w:r>
      <w:r w:rsidR="00E4259A"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I</w:t>
      </w:r>
      <w:r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 СДЕЛКИ, СКЛЮЧЕНИ МЕЖДУ </w:t>
      </w:r>
      <w:r w:rsidR="00907340" w:rsidRPr="003A71C2">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„ДКЦ Чайка” ЕООД </w:t>
      </w:r>
      <w:r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и СВЪРЗАНИ ЛИЦА, СДЕЛКИ ИЗВЪН ОБИЧАЙНАТА МУ Д</w:t>
      </w:r>
      <w:r w:rsidR="00715AB3"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Е</w:t>
      </w:r>
      <w:r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ЙНОСТ И СДЕЛКИ, КОИТО СЪЩЕСТВЕНО СЕ ОТКЛОНЯВАТ ОТ ПАЗАРНИТЕ УСЛОВИЯ</w:t>
      </w:r>
      <w:r w:rsidR="00715AB3"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 (съгл. т. 4 от Приложение № </w:t>
      </w:r>
      <w:r w:rsidR="000D55FF">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2</w:t>
      </w:r>
      <w:r w:rsidR="00715AB3"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w:t>
      </w:r>
    </w:p>
    <w:p w14:paraId="4D8AB6E6" w14:textId="77777777" w:rsidR="00715AB3" w:rsidRDefault="00715AB3" w:rsidP="00587A90">
      <w:pPr>
        <w:tabs>
          <w:tab w:val="left" w:pos="0"/>
        </w:tabs>
        <w:ind w:right="180"/>
        <w:jc w:val="both"/>
      </w:pPr>
    </w:p>
    <w:p w14:paraId="14BBF153" w14:textId="15B6B645" w:rsidR="00715AB3" w:rsidRDefault="00715AB3" w:rsidP="00C9136C">
      <w:pPr>
        <w:numPr>
          <w:ilvl w:val="0"/>
          <w:numId w:val="8"/>
        </w:numPr>
        <w:ind w:right="180"/>
        <w:jc w:val="both"/>
      </w:pPr>
      <w:r w:rsidRPr="00056FEF">
        <w:rPr>
          <w:rFonts w:cs="Arial"/>
          <w:b/>
          <w:bCs/>
          <w:i/>
          <w:iCs/>
          <w:color w:val="000000"/>
        </w:rPr>
        <w:t>Информация за сключените сделки със свързани лица:</w:t>
      </w:r>
    </w:p>
    <w:p w14:paraId="077430F7" w14:textId="1D7B411F" w:rsidR="00587A90" w:rsidRDefault="00587A90" w:rsidP="00056FEF">
      <w:pPr>
        <w:tabs>
          <w:tab w:val="left" w:pos="0"/>
        </w:tabs>
        <w:ind w:right="180"/>
        <w:jc w:val="both"/>
        <w:rPr>
          <w:rFonts w:eastAsia="Times New Roman" w:cs="Calibri"/>
          <w:b/>
          <w:lang w:eastAsia="bg-BG"/>
        </w:rPr>
      </w:pPr>
      <w:r>
        <w:t xml:space="preserve">През отчетната </w:t>
      </w:r>
      <w:r w:rsidR="00487716">
        <w:t>2021</w:t>
      </w:r>
      <w:r>
        <w:t>г.</w:t>
      </w:r>
      <w:r w:rsidRPr="006623F6">
        <w:t xml:space="preserve"> </w:t>
      </w:r>
      <w:r w:rsidRPr="00FD3526">
        <w:rPr>
          <w:color w:val="000000"/>
          <w:kern w:val="2"/>
        </w:rPr>
        <w:t>„</w:t>
      </w:r>
      <w:r w:rsidR="00F77289">
        <w:rPr>
          <w:color w:val="000000"/>
          <w:kern w:val="2"/>
        </w:rPr>
        <w:t>ДКЦ Чайка</w:t>
      </w:r>
      <w:r w:rsidRPr="00FD3526">
        <w:rPr>
          <w:color w:val="000000"/>
          <w:kern w:val="2"/>
        </w:rPr>
        <w:t xml:space="preserve">” </w:t>
      </w:r>
      <w:r w:rsidR="00F77289">
        <w:rPr>
          <w:color w:val="000000"/>
          <w:kern w:val="2"/>
        </w:rPr>
        <w:t>Е</w:t>
      </w:r>
      <w:r w:rsidR="00E4259A">
        <w:rPr>
          <w:color w:val="000000"/>
          <w:kern w:val="2"/>
        </w:rPr>
        <w:t>ОО</w:t>
      </w:r>
      <w:r w:rsidRPr="00FD3526">
        <w:rPr>
          <w:color w:val="000000"/>
          <w:kern w:val="2"/>
        </w:rPr>
        <w:t>Д</w:t>
      </w:r>
      <w:r w:rsidR="00E4259A">
        <w:rPr>
          <w:color w:val="000000"/>
          <w:kern w:val="2"/>
        </w:rPr>
        <w:t xml:space="preserve"> </w:t>
      </w:r>
      <w:r w:rsidRPr="006623F6">
        <w:t xml:space="preserve"> </w:t>
      </w:r>
      <w:r>
        <w:t>е</w:t>
      </w:r>
      <w:r w:rsidRPr="006623F6">
        <w:t xml:space="preserve"> </w:t>
      </w:r>
      <w:r>
        <w:t>сключил</w:t>
      </w:r>
      <w:r w:rsidR="00715AB3">
        <w:t>о</w:t>
      </w:r>
      <w:r w:rsidRPr="006623F6">
        <w:t xml:space="preserve"> следните </w:t>
      </w:r>
      <w:r>
        <w:t>сделки</w:t>
      </w:r>
      <w:r w:rsidR="00715AB3">
        <w:t xml:space="preserve"> </w:t>
      </w:r>
      <w:r>
        <w:t>със свързани лица</w:t>
      </w:r>
      <w:r w:rsidR="00715AB3">
        <w:t>:</w:t>
      </w:r>
    </w:p>
    <w:tbl>
      <w:tblPr>
        <w:tblW w:w="0" w:type="auto"/>
        <w:jc w:val="center"/>
        <w:tblBorders>
          <w:top w:val="double" w:sz="4" w:space="0" w:color="E36C0A"/>
          <w:left w:val="double" w:sz="4" w:space="0" w:color="E36C0A"/>
          <w:bottom w:val="double" w:sz="4" w:space="0" w:color="E36C0A"/>
          <w:right w:val="double" w:sz="4" w:space="0" w:color="E36C0A"/>
          <w:insideH w:val="double" w:sz="4" w:space="0" w:color="E36C0A"/>
          <w:insideV w:val="double" w:sz="4" w:space="0" w:color="E36C0A"/>
        </w:tblBorders>
        <w:tblLayout w:type="fixed"/>
        <w:tblLook w:val="0000" w:firstRow="0" w:lastRow="0" w:firstColumn="0" w:lastColumn="0" w:noHBand="0" w:noVBand="0"/>
      </w:tblPr>
      <w:tblGrid>
        <w:gridCol w:w="2817"/>
        <w:gridCol w:w="992"/>
        <w:gridCol w:w="1276"/>
        <w:gridCol w:w="2838"/>
        <w:gridCol w:w="1276"/>
      </w:tblGrid>
      <w:tr w:rsidR="003A71C2" w:rsidRPr="00587A90" w14:paraId="0B0314CB" w14:textId="77777777" w:rsidTr="00056FEF">
        <w:trPr>
          <w:jc w:val="center"/>
        </w:trPr>
        <w:tc>
          <w:tcPr>
            <w:tcW w:w="2817" w:type="dxa"/>
            <w:shd w:val="clear" w:color="auto" w:fill="E36C0A"/>
            <w:vAlign w:val="center"/>
          </w:tcPr>
          <w:p w14:paraId="0F871BBF" w14:textId="77777777" w:rsidR="003A71C2" w:rsidRPr="00F51E2A" w:rsidRDefault="003A71C2" w:rsidP="00D62972">
            <w:pPr>
              <w:pStyle w:val="Heading7"/>
              <w:spacing w:before="0" w:after="0"/>
              <w:jc w:val="center"/>
              <w:rPr>
                <w:b/>
                <w:bCs/>
                <w:i/>
                <w:color w:val="FFFFFF"/>
                <w:sz w:val="22"/>
                <w:szCs w:val="22"/>
              </w:rPr>
            </w:pPr>
            <w:r w:rsidRPr="00F51E2A">
              <w:rPr>
                <w:b/>
                <w:bCs/>
                <w:i/>
                <w:color w:val="FFFFFF"/>
                <w:sz w:val="22"/>
                <w:szCs w:val="22"/>
              </w:rPr>
              <w:t>Вид на сделката</w:t>
            </w:r>
          </w:p>
        </w:tc>
        <w:tc>
          <w:tcPr>
            <w:tcW w:w="992" w:type="dxa"/>
            <w:shd w:val="clear" w:color="auto" w:fill="E36C0A"/>
            <w:vAlign w:val="center"/>
          </w:tcPr>
          <w:p w14:paraId="4D4021B6" w14:textId="77777777" w:rsidR="003A71C2" w:rsidRPr="00F51E2A" w:rsidRDefault="003A71C2" w:rsidP="00D62972">
            <w:pPr>
              <w:pStyle w:val="Heading7"/>
              <w:spacing w:before="0" w:after="0"/>
              <w:jc w:val="center"/>
              <w:rPr>
                <w:b/>
                <w:bCs/>
                <w:i/>
                <w:color w:val="FFFFFF"/>
                <w:sz w:val="22"/>
                <w:szCs w:val="22"/>
              </w:rPr>
            </w:pPr>
            <w:r w:rsidRPr="00F51E2A">
              <w:rPr>
                <w:b/>
                <w:bCs/>
                <w:i/>
                <w:color w:val="FFFFFF"/>
                <w:sz w:val="22"/>
                <w:szCs w:val="22"/>
              </w:rPr>
              <w:t>Свързано лице</w:t>
            </w:r>
          </w:p>
        </w:tc>
        <w:tc>
          <w:tcPr>
            <w:tcW w:w="1276" w:type="dxa"/>
            <w:shd w:val="clear" w:color="auto" w:fill="E36C0A"/>
            <w:vAlign w:val="center"/>
          </w:tcPr>
          <w:p w14:paraId="305A2D38" w14:textId="77777777" w:rsidR="003A71C2" w:rsidRPr="00F51E2A" w:rsidRDefault="003A71C2" w:rsidP="00D62972">
            <w:pPr>
              <w:pStyle w:val="Heading7"/>
              <w:spacing w:before="0" w:after="0"/>
              <w:jc w:val="center"/>
              <w:rPr>
                <w:b/>
                <w:bCs/>
                <w:i/>
                <w:color w:val="FFFFFF"/>
                <w:sz w:val="22"/>
                <w:szCs w:val="22"/>
              </w:rPr>
            </w:pPr>
            <w:r w:rsidRPr="00F51E2A">
              <w:rPr>
                <w:b/>
                <w:bCs/>
                <w:i/>
                <w:color w:val="FFFFFF"/>
                <w:sz w:val="22"/>
                <w:szCs w:val="22"/>
              </w:rPr>
              <w:t>Характер на  свързаността</w:t>
            </w:r>
          </w:p>
        </w:tc>
        <w:tc>
          <w:tcPr>
            <w:tcW w:w="2838" w:type="dxa"/>
            <w:shd w:val="clear" w:color="auto" w:fill="E36C0A"/>
            <w:vAlign w:val="center"/>
          </w:tcPr>
          <w:p w14:paraId="3170EC83" w14:textId="77777777" w:rsidR="003A71C2" w:rsidRPr="00F51E2A" w:rsidRDefault="003A71C2" w:rsidP="00D62972">
            <w:pPr>
              <w:pStyle w:val="Heading7"/>
              <w:spacing w:before="0" w:after="0"/>
              <w:jc w:val="center"/>
              <w:rPr>
                <w:b/>
                <w:bCs/>
                <w:i/>
                <w:color w:val="FFFFFF"/>
                <w:sz w:val="22"/>
                <w:szCs w:val="22"/>
              </w:rPr>
            </w:pPr>
            <w:r w:rsidRPr="00F51E2A">
              <w:rPr>
                <w:b/>
                <w:bCs/>
                <w:i/>
                <w:color w:val="FFFFFF"/>
                <w:sz w:val="22"/>
                <w:szCs w:val="22"/>
              </w:rPr>
              <w:t xml:space="preserve"> Договор</w:t>
            </w:r>
          </w:p>
        </w:tc>
        <w:tc>
          <w:tcPr>
            <w:tcW w:w="1276" w:type="dxa"/>
            <w:shd w:val="clear" w:color="auto" w:fill="E36C0A"/>
            <w:vAlign w:val="center"/>
          </w:tcPr>
          <w:p w14:paraId="542E3062" w14:textId="77777777" w:rsidR="003A71C2" w:rsidRPr="00F51E2A" w:rsidRDefault="003A71C2" w:rsidP="00D62972">
            <w:pPr>
              <w:pStyle w:val="Heading7"/>
              <w:spacing w:before="0" w:after="0"/>
              <w:jc w:val="center"/>
              <w:rPr>
                <w:b/>
                <w:bCs/>
                <w:i/>
                <w:color w:val="FFFFFF"/>
                <w:sz w:val="22"/>
                <w:szCs w:val="22"/>
              </w:rPr>
            </w:pPr>
            <w:r w:rsidRPr="00F51E2A">
              <w:rPr>
                <w:b/>
                <w:bCs/>
                <w:i/>
                <w:color w:val="FFFFFF"/>
                <w:sz w:val="22"/>
                <w:szCs w:val="22"/>
              </w:rPr>
              <w:t>Стойност на сделката</w:t>
            </w:r>
          </w:p>
        </w:tc>
      </w:tr>
      <w:tr w:rsidR="00B76D74" w:rsidRPr="005825A7" w14:paraId="59629BC4" w14:textId="77777777" w:rsidTr="00056FEF">
        <w:trPr>
          <w:trHeight w:val="1489"/>
          <w:jc w:val="center"/>
        </w:trPr>
        <w:tc>
          <w:tcPr>
            <w:tcW w:w="2817" w:type="dxa"/>
          </w:tcPr>
          <w:p w14:paraId="6A347873" w14:textId="77777777" w:rsidR="00B76D74" w:rsidRDefault="00B76D74" w:rsidP="00B76D74">
            <w:pPr>
              <w:rPr>
                <w:rFonts w:cs="Arial"/>
                <w:lang w:val="be-BY"/>
              </w:rPr>
            </w:pPr>
            <w:r w:rsidRPr="00500723">
              <w:rPr>
                <w:rFonts w:cs="Arial"/>
                <w:lang w:val="be-BY"/>
              </w:rPr>
              <w:t>Скрининг на за</w:t>
            </w:r>
            <w:r>
              <w:rPr>
                <w:rFonts w:cs="Arial"/>
                <w:lang w:val="be-BY"/>
              </w:rPr>
              <w:t>болявания на щитовидната жлеза</w:t>
            </w:r>
          </w:p>
          <w:p w14:paraId="174D31CB" w14:textId="77777777" w:rsidR="00B76D74" w:rsidRDefault="00B76D74" w:rsidP="00B76D74">
            <w:pPr>
              <w:rPr>
                <w:rFonts w:cs="Arial"/>
                <w:lang w:val="be-BY"/>
              </w:rPr>
            </w:pPr>
          </w:p>
          <w:p w14:paraId="3806CDB0" w14:textId="62B2B3F5" w:rsidR="00B76D74" w:rsidRPr="00E5086C" w:rsidRDefault="00B76D74" w:rsidP="00B76D74">
            <w:r w:rsidRPr="00500723">
              <w:rPr>
                <w:rFonts w:cs="Arial"/>
                <w:lang w:val="be-BY"/>
              </w:rPr>
              <w:t xml:space="preserve">Скрининг на заболявания на </w:t>
            </w:r>
            <w:r>
              <w:rPr>
                <w:rFonts w:cs="Arial"/>
                <w:lang w:val="be-BY"/>
              </w:rPr>
              <w:t>белия дроб</w:t>
            </w:r>
          </w:p>
        </w:tc>
        <w:tc>
          <w:tcPr>
            <w:tcW w:w="992" w:type="dxa"/>
          </w:tcPr>
          <w:p w14:paraId="38437C17" w14:textId="77777777" w:rsidR="00C9108E" w:rsidRDefault="00C9108E" w:rsidP="00B76D74">
            <w:pPr>
              <w:pStyle w:val="Heading7"/>
              <w:spacing w:before="0" w:after="0"/>
              <w:rPr>
                <w:sz w:val="22"/>
                <w:szCs w:val="22"/>
              </w:rPr>
            </w:pPr>
          </w:p>
          <w:p w14:paraId="780DBCD0" w14:textId="46B56729" w:rsidR="00B76D74" w:rsidRPr="00F77289" w:rsidRDefault="00B76D74" w:rsidP="00B76D74">
            <w:pPr>
              <w:pStyle w:val="Heading7"/>
              <w:spacing w:before="0" w:after="0"/>
            </w:pPr>
            <w:r>
              <w:rPr>
                <w:sz w:val="22"/>
                <w:szCs w:val="22"/>
              </w:rPr>
              <w:t>Община Варна</w:t>
            </w:r>
          </w:p>
        </w:tc>
        <w:tc>
          <w:tcPr>
            <w:tcW w:w="1276" w:type="dxa"/>
          </w:tcPr>
          <w:p w14:paraId="6079B4B2" w14:textId="77777777" w:rsidR="00C9108E" w:rsidRDefault="00C9108E" w:rsidP="00B76D74">
            <w:pPr>
              <w:pStyle w:val="Heading7"/>
              <w:spacing w:before="0" w:after="0"/>
              <w:jc w:val="center"/>
              <w:rPr>
                <w:sz w:val="22"/>
                <w:szCs w:val="22"/>
              </w:rPr>
            </w:pPr>
          </w:p>
          <w:p w14:paraId="3C566296" w14:textId="3427BFD9" w:rsidR="00C9108E" w:rsidRDefault="00C9108E" w:rsidP="00B76D74">
            <w:pPr>
              <w:pStyle w:val="Heading7"/>
              <w:spacing w:before="0" w:after="0"/>
              <w:jc w:val="center"/>
              <w:rPr>
                <w:sz w:val="22"/>
                <w:szCs w:val="22"/>
              </w:rPr>
            </w:pPr>
            <w:r>
              <w:rPr>
                <w:sz w:val="22"/>
                <w:szCs w:val="22"/>
              </w:rPr>
              <w:t>Едноличен</w:t>
            </w:r>
          </w:p>
          <w:p w14:paraId="42117CA3" w14:textId="3815EDF3" w:rsidR="00B76D74" w:rsidRPr="00F77289" w:rsidRDefault="00B76D74" w:rsidP="00B76D74">
            <w:pPr>
              <w:pStyle w:val="Heading7"/>
              <w:spacing w:before="0" w:after="0"/>
              <w:jc w:val="center"/>
              <w:rPr>
                <w:sz w:val="22"/>
                <w:szCs w:val="22"/>
              </w:rPr>
            </w:pPr>
            <w:r>
              <w:rPr>
                <w:sz w:val="22"/>
                <w:szCs w:val="22"/>
              </w:rPr>
              <w:t>собственик</w:t>
            </w:r>
          </w:p>
        </w:tc>
        <w:tc>
          <w:tcPr>
            <w:tcW w:w="2838" w:type="dxa"/>
          </w:tcPr>
          <w:p w14:paraId="03020F9D" w14:textId="576E227C" w:rsidR="00B76D74" w:rsidRPr="008A60CF" w:rsidRDefault="008A60CF" w:rsidP="00B76D74">
            <w:r w:rsidRPr="008A60CF">
              <w:rPr>
                <w:rFonts w:eastAsia="Times New Roman"/>
              </w:rPr>
              <w:t>Рег.№ Д21000365ВН/14.04.2021г.</w:t>
            </w:r>
          </w:p>
          <w:p w14:paraId="011DA0B4" w14:textId="77777777" w:rsidR="00B76D74" w:rsidRPr="008A60CF" w:rsidRDefault="00B76D74" w:rsidP="00B76D74"/>
          <w:p w14:paraId="366A8B5B" w14:textId="308FEA66" w:rsidR="00B76D74" w:rsidRPr="00971F1A" w:rsidRDefault="00C9108E" w:rsidP="00B76D74">
            <w:r w:rsidRPr="00C9108E">
              <w:rPr>
                <w:rFonts w:eastAsia="Times New Roman"/>
              </w:rPr>
              <w:t>Рег.№ Д21000370ВН/14.04.2021г.</w:t>
            </w:r>
          </w:p>
        </w:tc>
        <w:tc>
          <w:tcPr>
            <w:tcW w:w="1276" w:type="dxa"/>
          </w:tcPr>
          <w:p w14:paraId="3070F4EE" w14:textId="7E6F546F" w:rsidR="00B76D74" w:rsidRDefault="00B76D74" w:rsidP="00B76D74">
            <w:pPr>
              <w:pStyle w:val="Heading7"/>
              <w:spacing w:before="0" w:after="0"/>
              <w:rPr>
                <w:sz w:val="22"/>
                <w:szCs w:val="22"/>
              </w:rPr>
            </w:pPr>
            <w:r>
              <w:rPr>
                <w:sz w:val="22"/>
                <w:szCs w:val="22"/>
              </w:rPr>
              <w:t>4 000</w:t>
            </w:r>
          </w:p>
          <w:p w14:paraId="78712440" w14:textId="77777777" w:rsidR="00B76D74" w:rsidRDefault="00B76D74" w:rsidP="00B76D74"/>
          <w:p w14:paraId="2788AAA1" w14:textId="77777777" w:rsidR="00B76D74" w:rsidRDefault="00B76D74" w:rsidP="00B76D74"/>
          <w:p w14:paraId="7E1FC2A2" w14:textId="3781F743" w:rsidR="00B76D74" w:rsidRDefault="00B76D74" w:rsidP="00B76D74">
            <w:r>
              <w:t>3 990</w:t>
            </w:r>
          </w:p>
          <w:p w14:paraId="237AB358" w14:textId="77777777" w:rsidR="00B76D74" w:rsidRDefault="00B76D74" w:rsidP="00B76D74"/>
          <w:p w14:paraId="353EFF6D" w14:textId="77777777" w:rsidR="00B76D74" w:rsidRDefault="00B76D74" w:rsidP="00B76D74"/>
          <w:p w14:paraId="4CD9C4E0" w14:textId="77777777" w:rsidR="00B76D74" w:rsidRPr="00971F1A" w:rsidRDefault="00B76D74" w:rsidP="00B76D74"/>
        </w:tc>
      </w:tr>
    </w:tbl>
    <w:p w14:paraId="36FE989A" w14:textId="77777777" w:rsidR="00715AB3" w:rsidRDefault="00715AB3" w:rsidP="000F480E">
      <w:pPr>
        <w:jc w:val="both"/>
        <w:rPr>
          <w:rFonts w:eastAsia="Times New Roman" w:cs="Calibri"/>
          <w:b/>
          <w:lang w:eastAsia="bg-BG"/>
        </w:rPr>
      </w:pPr>
    </w:p>
    <w:p w14:paraId="60312316" w14:textId="77777777" w:rsidR="00715AB3" w:rsidRPr="005825A7" w:rsidRDefault="00715AB3" w:rsidP="002228B1">
      <w:pPr>
        <w:numPr>
          <w:ilvl w:val="0"/>
          <w:numId w:val="8"/>
        </w:numPr>
        <w:ind w:right="181"/>
        <w:jc w:val="both"/>
        <w:rPr>
          <w:rFonts w:cs="Arial"/>
          <w:b/>
          <w:bCs/>
          <w:i/>
          <w:iCs/>
          <w:color w:val="000000"/>
        </w:rPr>
      </w:pPr>
      <w:r w:rsidRPr="005825A7">
        <w:rPr>
          <w:rFonts w:cs="Arial"/>
          <w:b/>
          <w:bCs/>
          <w:i/>
          <w:iCs/>
          <w:color w:val="000000"/>
        </w:rPr>
        <w:t xml:space="preserve">Информация за </w:t>
      </w:r>
      <w:r>
        <w:rPr>
          <w:rFonts w:cs="Arial"/>
          <w:b/>
          <w:bCs/>
          <w:i/>
          <w:iCs/>
          <w:color w:val="000000"/>
        </w:rPr>
        <w:t>сключените сделки извън обичайната дейност</w:t>
      </w:r>
      <w:r w:rsidRPr="005825A7">
        <w:rPr>
          <w:rFonts w:cs="Arial"/>
          <w:b/>
          <w:bCs/>
          <w:i/>
          <w:iCs/>
          <w:color w:val="000000"/>
        </w:rPr>
        <w:t>:</w:t>
      </w:r>
    </w:p>
    <w:p w14:paraId="581BE659" w14:textId="77777777" w:rsidR="00715AB3" w:rsidRDefault="00715AB3" w:rsidP="00715AB3">
      <w:pPr>
        <w:tabs>
          <w:tab w:val="left" w:pos="0"/>
        </w:tabs>
        <w:ind w:right="180"/>
        <w:jc w:val="both"/>
      </w:pPr>
    </w:p>
    <w:p w14:paraId="4160B8A0" w14:textId="1FB3985B" w:rsidR="00715AB3" w:rsidRPr="006623F6" w:rsidRDefault="00715AB3" w:rsidP="00715AB3">
      <w:pPr>
        <w:tabs>
          <w:tab w:val="left" w:pos="0"/>
        </w:tabs>
        <w:ind w:right="180"/>
        <w:jc w:val="both"/>
      </w:pPr>
      <w:r>
        <w:t xml:space="preserve">През отчетната </w:t>
      </w:r>
      <w:r w:rsidR="00487716">
        <w:t>2021</w:t>
      </w:r>
      <w:r>
        <w:t>г.</w:t>
      </w:r>
      <w:r w:rsidRPr="006623F6">
        <w:t xml:space="preserve"> </w:t>
      </w:r>
      <w:r w:rsidR="00F77289">
        <w:rPr>
          <w:color w:val="000000"/>
          <w:kern w:val="2"/>
        </w:rPr>
        <w:t xml:space="preserve">„ДКЦ Чайка </w:t>
      </w:r>
      <w:r w:rsidRPr="00FD3526">
        <w:rPr>
          <w:color w:val="000000"/>
          <w:kern w:val="2"/>
        </w:rPr>
        <w:t>”</w:t>
      </w:r>
      <w:r w:rsidR="00ED2729">
        <w:rPr>
          <w:color w:val="000000"/>
          <w:kern w:val="2"/>
        </w:rPr>
        <w:t xml:space="preserve"> </w:t>
      </w:r>
      <w:r w:rsidR="00F77289">
        <w:rPr>
          <w:color w:val="000000"/>
          <w:kern w:val="2"/>
        </w:rPr>
        <w:t>Е</w:t>
      </w:r>
      <w:r w:rsidR="00E4259A">
        <w:rPr>
          <w:color w:val="000000"/>
          <w:kern w:val="2"/>
        </w:rPr>
        <w:t>ОО</w:t>
      </w:r>
      <w:r w:rsidRPr="00FD3526">
        <w:rPr>
          <w:color w:val="000000"/>
          <w:kern w:val="2"/>
        </w:rPr>
        <w:t>Д</w:t>
      </w:r>
      <w:r w:rsidR="00E4259A">
        <w:rPr>
          <w:color w:val="000000"/>
          <w:kern w:val="2"/>
        </w:rPr>
        <w:t xml:space="preserve"> </w:t>
      </w:r>
      <w:r w:rsidRPr="006623F6">
        <w:t xml:space="preserve">не </w:t>
      </w:r>
      <w:r>
        <w:t>е</w:t>
      </w:r>
      <w:r w:rsidRPr="006623F6">
        <w:t xml:space="preserve">  </w:t>
      </w:r>
      <w:r>
        <w:t>сключ</w:t>
      </w:r>
      <w:r w:rsidR="00ED2729">
        <w:t>вало</w:t>
      </w:r>
      <w:r w:rsidR="00907340">
        <w:t xml:space="preserve"> </w:t>
      </w:r>
      <w:r w:rsidRPr="006623F6">
        <w:t xml:space="preserve"> </w:t>
      </w:r>
      <w:r>
        <w:t xml:space="preserve">сделки извън обичайната </w:t>
      </w:r>
      <w:r w:rsidR="00ED2729">
        <w:t>си</w:t>
      </w:r>
      <w:r>
        <w:t xml:space="preserve"> дейност</w:t>
      </w:r>
      <w:r w:rsidR="00ED2729">
        <w:t>.</w:t>
      </w:r>
    </w:p>
    <w:p w14:paraId="3697B93A" w14:textId="77777777" w:rsidR="00715AB3" w:rsidRDefault="00715AB3" w:rsidP="00715AB3">
      <w:pPr>
        <w:jc w:val="both"/>
        <w:rPr>
          <w:rFonts w:eastAsia="Times New Roman" w:cs="Calibri"/>
          <w:b/>
          <w:lang w:eastAsia="bg-BG"/>
        </w:rPr>
      </w:pPr>
    </w:p>
    <w:p w14:paraId="75A9BD82" w14:textId="77777777" w:rsidR="00D62972" w:rsidRPr="005825A7" w:rsidRDefault="00D62972" w:rsidP="002228B1">
      <w:pPr>
        <w:numPr>
          <w:ilvl w:val="0"/>
          <w:numId w:val="8"/>
        </w:numPr>
        <w:ind w:right="181"/>
        <w:jc w:val="both"/>
        <w:rPr>
          <w:rFonts w:cs="Arial"/>
          <w:b/>
          <w:bCs/>
          <w:i/>
          <w:iCs/>
          <w:color w:val="000000"/>
        </w:rPr>
      </w:pPr>
      <w:r w:rsidRPr="005825A7">
        <w:rPr>
          <w:rFonts w:cs="Arial"/>
          <w:b/>
          <w:bCs/>
          <w:i/>
          <w:iCs/>
          <w:color w:val="000000"/>
        </w:rPr>
        <w:t xml:space="preserve">Информация за </w:t>
      </w:r>
      <w:r>
        <w:rPr>
          <w:rFonts w:cs="Arial"/>
          <w:b/>
          <w:bCs/>
          <w:i/>
          <w:iCs/>
          <w:color w:val="000000"/>
        </w:rPr>
        <w:t>сключените сделки, които съществено се отклоняват от пазарните условия</w:t>
      </w:r>
    </w:p>
    <w:p w14:paraId="0BD82375" w14:textId="77777777" w:rsidR="00D62972" w:rsidRDefault="00D62972" w:rsidP="00D62972">
      <w:pPr>
        <w:tabs>
          <w:tab w:val="left" w:pos="0"/>
        </w:tabs>
        <w:ind w:right="180"/>
        <w:jc w:val="both"/>
      </w:pPr>
    </w:p>
    <w:p w14:paraId="7DD50376" w14:textId="4F461398" w:rsidR="00EC5CE2" w:rsidRPr="00E4259A" w:rsidRDefault="00D62972" w:rsidP="00E4259A">
      <w:pPr>
        <w:tabs>
          <w:tab w:val="left" w:pos="0"/>
        </w:tabs>
        <w:ind w:right="180"/>
        <w:jc w:val="both"/>
      </w:pPr>
      <w:r>
        <w:t xml:space="preserve">През отчетната </w:t>
      </w:r>
      <w:r w:rsidR="00487716">
        <w:t>2021</w:t>
      </w:r>
      <w:r>
        <w:t>г.</w:t>
      </w:r>
      <w:r w:rsidRPr="006623F6">
        <w:t xml:space="preserve"> </w:t>
      </w:r>
      <w:r w:rsidRPr="00FD3526">
        <w:rPr>
          <w:color w:val="000000"/>
          <w:kern w:val="2"/>
        </w:rPr>
        <w:t>„</w:t>
      </w:r>
      <w:r w:rsidR="00F77289">
        <w:rPr>
          <w:color w:val="000000"/>
          <w:kern w:val="2"/>
        </w:rPr>
        <w:t>ДКЦ Чайка</w:t>
      </w:r>
      <w:r w:rsidRPr="00FD3526">
        <w:rPr>
          <w:color w:val="000000"/>
          <w:kern w:val="2"/>
        </w:rPr>
        <w:t>”</w:t>
      </w:r>
      <w:r w:rsidR="00F77289">
        <w:rPr>
          <w:color w:val="000000"/>
          <w:kern w:val="2"/>
        </w:rPr>
        <w:t>Е</w:t>
      </w:r>
      <w:r w:rsidR="00E4259A">
        <w:rPr>
          <w:color w:val="000000"/>
          <w:kern w:val="2"/>
        </w:rPr>
        <w:t>ОО</w:t>
      </w:r>
      <w:r w:rsidRPr="00FD3526">
        <w:rPr>
          <w:color w:val="000000"/>
          <w:kern w:val="2"/>
        </w:rPr>
        <w:t>Д</w:t>
      </w:r>
      <w:r w:rsidR="00E4259A">
        <w:rPr>
          <w:color w:val="000000"/>
          <w:kern w:val="2"/>
        </w:rPr>
        <w:t xml:space="preserve"> </w:t>
      </w:r>
      <w:r w:rsidRPr="006623F6">
        <w:t xml:space="preserve">не </w:t>
      </w:r>
      <w:r>
        <w:t>е</w:t>
      </w:r>
      <w:r w:rsidRPr="006623F6">
        <w:t xml:space="preserve">  </w:t>
      </w:r>
      <w:r w:rsidR="00ED2729">
        <w:t xml:space="preserve">сключвало </w:t>
      </w:r>
      <w:r w:rsidR="00ED2729" w:rsidRPr="006623F6">
        <w:t xml:space="preserve"> </w:t>
      </w:r>
      <w:r>
        <w:t>сделки, които съществено се отклоняват от пазарните условия</w:t>
      </w:r>
      <w:r w:rsidR="00907340">
        <w:t>.</w:t>
      </w:r>
    </w:p>
    <w:p w14:paraId="6FF2BC67" w14:textId="77777777" w:rsidR="00E4259A" w:rsidRPr="00E4259A" w:rsidRDefault="00E4259A" w:rsidP="00D62972">
      <w:pPr>
        <w:jc w:val="both"/>
        <w:rPr>
          <w:rFonts w:eastAsia="Times New Roman" w:cs="Calibri"/>
          <w:b/>
          <w:lang w:eastAsia="bg-BG"/>
        </w:rPr>
      </w:pPr>
    </w:p>
    <w:p w14:paraId="4E32A30B" w14:textId="01C2324C" w:rsidR="00D62972" w:rsidRPr="00316233" w:rsidRDefault="00E4259A" w:rsidP="002228B1">
      <w:pPr>
        <w:pStyle w:val="NoSpacing"/>
        <w:shd w:val="clear" w:color="auto" w:fill="E36C0A"/>
        <w:autoSpaceDE w:val="0"/>
        <w:autoSpaceDN w:val="0"/>
        <w:adjustRightInd w:val="0"/>
        <w:jc w:val="both"/>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pPr>
      <w:r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VIII</w:t>
      </w:r>
      <w:r w:rsidR="00D62972"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00514E23"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СЪБИТИЯ И ПОКАЗАТЕЛИ С НЕОБИЧАЕН ХАРАКТЕР</w:t>
      </w:r>
      <w:r w:rsidR="00D62972"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 (съгл. т. </w:t>
      </w:r>
      <w:r w:rsidR="00514E23"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5 от Приложение № </w:t>
      </w:r>
      <w:r w:rsidR="000D55FF">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2</w:t>
      </w:r>
      <w:r w:rsidR="00514E23"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w:t>
      </w:r>
    </w:p>
    <w:p w14:paraId="07A5BEEE" w14:textId="77777777" w:rsidR="00D62972" w:rsidRDefault="00D62972" w:rsidP="00D62972">
      <w:pPr>
        <w:jc w:val="both"/>
        <w:rPr>
          <w:rFonts w:eastAsia="Times New Roman" w:cs="Calibri"/>
          <w:b/>
          <w:lang w:eastAsia="bg-BG"/>
        </w:rPr>
      </w:pPr>
    </w:p>
    <w:p w14:paraId="32388BAA" w14:textId="77777777" w:rsidR="003F27A3" w:rsidRPr="00E01202" w:rsidRDefault="003F27A3" w:rsidP="00056FEF">
      <w:pPr>
        <w:jc w:val="both"/>
      </w:pPr>
      <w:r>
        <w:rPr>
          <w:lang w:val="be-BY"/>
        </w:rPr>
        <w:t xml:space="preserve">            </w:t>
      </w:r>
      <w:r w:rsidRPr="00E01202">
        <w:rPr>
          <w:rFonts w:eastAsia="Times New Roman"/>
          <w:lang w:eastAsia="bg-BG"/>
        </w:rPr>
        <w:t xml:space="preserve">  Икономическите последици от войната в Украйна вече са изключително сериозни. Според МВФ цените на енергията и суровините — включително на пшеницата и другите зърнени култури — рязко се повишиха, утежнявайки допълнително инфлационния натиск от смущенията във веригата за доставки и от възстановяването от пандемията, предизвикана от Covid-19. Ценовите сътресения ще окажат влияние и в световен мащаб, особено върху бедните домакинства, за които храната и горивата представляват значителна част от разходите. Ако конфликтът ескалира, икономическите щети ще бъдат още по-опустошителни. Санкциите срещу Русия също така ще окажат значително въздействие върху световната икономика и финансовите пазари, като ще имат значителни странични ефекти и в други държави. </w:t>
      </w:r>
    </w:p>
    <w:p w14:paraId="3E52BC0B" w14:textId="77777777" w:rsidR="003F27A3" w:rsidRPr="00E01202" w:rsidRDefault="003F27A3" w:rsidP="00056FEF">
      <w:pPr>
        <w:jc w:val="both"/>
      </w:pPr>
      <w:r w:rsidRPr="00E01202">
        <w:t xml:space="preserve">             COVID-19 все още не е победен и възстановяването зависи в голяма степен от развитието на болестта както в рамките на ЕС, така и извън него. На фона на неотдавнашното рязко увеличение на случаите на заразени в много държави, не може да се изключи повторното въвеждане на ограничения, които оказват въздействие върху икономическата дейност. В ЕС този риск е особено важен в държавите членки със сравнително нисък процент на ваксинация.</w:t>
      </w:r>
    </w:p>
    <w:p w14:paraId="0704D02F" w14:textId="1C80E9B7" w:rsidR="003F27A3" w:rsidRDefault="003F27A3" w:rsidP="00056FEF">
      <w:pPr>
        <w:ind w:firstLine="567"/>
        <w:jc w:val="both"/>
        <w:rPr>
          <w:rFonts w:cs="Arial"/>
          <w:lang w:val="be-BY"/>
        </w:rPr>
      </w:pPr>
      <w:r w:rsidRPr="00E01202">
        <w:rPr>
          <w:rFonts w:cs="Arial"/>
          <w:lang w:val="be-BY"/>
        </w:rPr>
        <w:t xml:space="preserve">     Предвид извънредността на ситуацията, ръководството на  Дружеството, не е в състояние да оцени надежно влиянието на войната в Украйна и продължаващата коронавирусна пандемия върху бъдещото финансово състояние и резултатите от дейността си. Въпреки това, Ръководството  на Дружеството счита, че въздействието им ще има негативен ефект, както върху икономиката на страната, така и върху дейността на Дружеството,  най-малкото в резултат на намалената платежоспособност  на населението.</w:t>
      </w:r>
    </w:p>
    <w:p w14:paraId="1892DF8F" w14:textId="55972EC4" w:rsidR="003F27A3" w:rsidRDefault="003F27A3" w:rsidP="003F27A3">
      <w:pPr>
        <w:ind w:firstLine="567"/>
        <w:rPr>
          <w:rFonts w:cs="Arial"/>
          <w:lang w:val="be-BY"/>
        </w:rPr>
      </w:pPr>
    </w:p>
    <w:p w14:paraId="23E9E96D" w14:textId="77777777" w:rsidR="003F27A3" w:rsidRPr="00E01202" w:rsidRDefault="003F27A3" w:rsidP="003F27A3">
      <w:pPr>
        <w:ind w:firstLine="567"/>
        <w:rPr>
          <w:rFonts w:cs="Arial"/>
          <w:lang w:val="en-US"/>
        </w:rPr>
      </w:pPr>
    </w:p>
    <w:p w14:paraId="11D4D3C2" w14:textId="2B1CFAB3" w:rsidR="00E665FC" w:rsidRPr="00316233" w:rsidRDefault="004F3174" w:rsidP="002228B1">
      <w:pPr>
        <w:pStyle w:val="NoSpacing"/>
        <w:shd w:val="clear" w:color="auto" w:fill="E36C0A"/>
        <w:autoSpaceDE w:val="0"/>
        <w:autoSpaceDN w:val="0"/>
        <w:adjustRightInd w:val="0"/>
        <w:jc w:val="both"/>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pPr>
      <w:r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I</w:t>
      </w:r>
      <w:r w:rsidR="00E665FC"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X</w:t>
      </w:r>
      <w:r w:rsidR="00E665FC"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 СДЕЛКИ, ВОДЕНИ ИЗВЪНБАЛАНСОВО (съгл. т. 6 от Приложение № </w:t>
      </w:r>
      <w:r w:rsidR="00E7012F">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2</w:t>
      </w:r>
      <w:r w:rsidR="00E665FC"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w:t>
      </w:r>
    </w:p>
    <w:p w14:paraId="2CCC6922" w14:textId="77777777" w:rsidR="00E665FC" w:rsidRDefault="00E665FC" w:rsidP="00E665FC">
      <w:pPr>
        <w:tabs>
          <w:tab w:val="left" w:pos="0"/>
        </w:tabs>
        <w:ind w:right="180"/>
        <w:jc w:val="both"/>
      </w:pPr>
    </w:p>
    <w:p w14:paraId="38EA04E9" w14:textId="68629413" w:rsidR="00E665FC" w:rsidRPr="006623F6" w:rsidRDefault="00E665FC" w:rsidP="00E665FC">
      <w:pPr>
        <w:tabs>
          <w:tab w:val="left" w:pos="0"/>
        </w:tabs>
        <w:ind w:right="180"/>
        <w:jc w:val="both"/>
      </w:pPr>
      <w:r>
        <w:t xml:space="preserve">През отчетната </w:t>
      </w:r>
      <w:r w:rsidR="00487716">
        <w:t>2021</w:t>
      </w:r>
      <w:r>
        <w:t>г.</w:t>
      </w:r>
      <w:r w:rsidRPr="006623F6">
        <w:t xml:space="preserve"> </w:t>
      </w:r>
      <w:r w:rsidR="0079370E">
        <w:rPr>
          <w:color w:val="000000"/>
          <w:kern w:val="2"/>
        </w:rPr>
        <w:t>„ ДКЦ Чайка</w:t>
      </w:r>
      <w:r w:rsidRPr="00FD3526">
        <w:rPr>
          <w:color w:val="000000"/>
          <w:kern w:val="2"/>
        </w:rPr>
        <w:t xml:space="preserve">” </w:t>
      </w:r>
      <w:r w:rsidR="0079370E">
        <w:rPr>
          <w:color w:val="000000"/>
          <w:kern w:val="2"/>
        </w:rPr>
        <w:t>Е</w:t>
      </w:r>
      <w:r w:rsidR="004F3174">
        <w:rPr>
          <w:color w:val="000000"/>
          <w:kern w:val="2"/>
        </w:rPr>
        <w:t>ОО</w:t>
      </w:r>
      <w:r w:rsidRPr="00FD3526">
        <w:rPr>
          <w:color w:val="000000"/>
          <w:kern w:val="2"/>
        </w:rPr>
        <w:t>Д</w:t>
      </w:r>
      <w:r w:rsidR="004F3174">
        <w:rPr>
          <w:color w:val="000000"/>
          <w:kern w:val="2"/>
        </w:rPr>
        <w:t xml:space="preserve"> </w:t>
      </w:r>
      <w:r>
        <w:t xml:space="preserve">не е </w:t>
      </w:r>
      <w:r w:rsidR="00ED2729">
        <w:t xml:space="preserve">сключвало </w:t>
      </w:r>
      <w:r w:rsidR="00ED2729" w:rsidRPr="006623F6">
        <w:t xml:space="preserve"> </w:t>
      </w:r>
      <w:r w:rsidR="0079370E">
        <w:t>сделки, водени извънбалансов</w:t>
      </w:r>
      <w:r w:rsidR="009C5370">
        <w:t>о</w:t>
      </w:r>
      <w:r w:rsidR="0079370E">
        <w:t>.</w:t>
      </w:r>
    </w:p>
    <w:p w14:paraId="04CB2408" w14:textId="77777777" w:rsidR="00E665FC" w:rsidRDefault="00E665FC" w:rsidP="00E665FC">
      <w:pPr>
        <w:jc w:val="both"/>
        <w:rPr>
          <w:rFonts w:eastAsia="Times New Roman" w:cs="Calibri"/>
          <w:b/>
          <w:lang w:eastAsia="bg-BG"/>
        </w:rPr>
      </w:pPr>
    </w:p>
    <w:p w14:paraId="00320207" w14:textId="77777777" w:rsidR="005154CE" w:rsidRDefault="005154CE" w:rsidP="00514E23">
      <w:pPr>
        <w:jc w:val="both"/>
        <w:rPr>
          <w:rFonts w:eastAsia="Times New Roman" w:cs="Calibri"/>
          <w:b/>
          <w:lang w:eastAsia="bg-BG"/>
        </w:rPr>
      </w:pPr>
    </w:p>
    <w:p w14:paraId="19848616" w14:textId="40FC6D03" w:rsidR="005C348E" w:rsidRPr="00316233" w:rsidRDefault="009F1450" w:rsidP="002228B1">
      <w:pPr>
        <w:pStyle w:val="NoSpacing"/>
        <w:shd w:val="clear" w:color="auto" w:fill="E36C0A"/>
        <w:autoSpaceDE w:val="0"/>
        <w:autoSpaceDN w:val="0"/>
        <w:adjustRightInd w:val="0"/>
        <w:jc w:val="both"/>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pPr>
      <w:r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X</w:t>
      </w:r>
      <w:r w:rsidR="005C348E"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ДЯЛОВИ УЧАСТИЯ</w:t>
      </w:r>
      <w:r w:rsidR="0079370E"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 на „ДКЦ Чайка</w:t>
      </w:r>
      <w:proofErr w:type="gramStart"/>
      <w:r w:rsidR="004B2230"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0079370E"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Е</w:t>
      </w:r>
      <w:r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ООД</w:t>
      </w:r>
      <w:proofErr w:type="gramEnd"/>
      <w:r w:rsidR="005C348E"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004B2230"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ОСНОВНИ ИНВЕСТИЦИИ В СТРАНАТА И ЧУЖБИНА, ИНВЕСТИЦИИ В ДЯЛОВИ ЦЕННИ КНИЖА ИЗВЪН НЕГОВАТА ГРУПА ПРЕДПРИЯТИЯ И ИЗТОЧНИЦИТЕ / НАЧИНИТЕ НА ФИНАНСИРАНЕ </w:t>
      </w:r>
      <w:r w:rsidR="005154CE"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(съгл. т. 7 от Приложение № </w:t>
      </w:r>
      <w:r w:rsidR="000D55FF">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2</w:t>
      </w:r>
      <w:r w:rsidR="005154CE"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w:t>
      </w:r>
    </w:p>
    <w:p w14:paraId="0C18AEAC" w14:textId="77777777" w:rsidR="005C348E" w:rsidRDefault="005C348E" w:rsidP="00514E23">
      <w:pPr>
        <w:jc w:val="both"/>
        <w:rPr>
          <w:rFonts w:eastAsia="Times New Roman" w:cs="Calibri"/>
          <w:b/>
          <w:lang w:eastAsia="bg-BG"/>
        </w:rPr>
      </w:pPr>
    </w:p>
    <w:p w14:paraId="29F1B291" w14:textId="5100D7E7" w:rsidR="005154CE" w:rsidRPr="005825A7" w:rsidRDefault="005154CE" w:rsidP="002228B1">
      <w:pPr>
        <w:numPr>
          <w:ilvl w:val="0"/>
          <w:numId w:val="8"/>
        </w:numPr>
        <w:ind w:right="181"/>
        <w:jc w:val="both"/>
        <w:rPr>
          <w:rFonts w:cs="Arial"/>
          <w:b/>
          <w:bCs/>
          <w:i/>
          <w:iCs/>
          <w:color w:val="000000"/>
        </w:rPr>
      </w:pPr>
      <w:r w:rsidRPr="005825A7">
        <w:rPr>
          <w:rFonts w:cs="Arial"/>
          <w:b/>
          <w:bCs/>
          <w:i/>
          <w:iCs/>
          <w:color w:val="000000"/>
        </w:rPr>
        <w:t xml:space="preserve">Информация за </w:t>
      </w:r>
      <w:r>
        <w:rPr>
          <w:rFonts w:cs="Arial"/>
          <w:b/>
          <w:bCs/>
          <w:i/>
          <w:iCs/>
          <w:color w:val="000000"/>
        </w:rPr>
        <w:t>дялови участия</w:t>
      </w:r>
      <w:r w:rsidRPr="005825A7">
        <w:rPr>
          <w:rFonts w:cs="Arial"/>
          <w:b/>
          <w:bCs/>
          <w:i/>
          <w:iCs/>
          <w:color w:val="000000"/>
        </w:rPr>
        <w:t>:</w:t>
      </w:r>
      <w:r w:rsidR="00BA3044">
        <w:rPr>
          <w:rFonts w:cs="Arial"/>
          <w:b/>
          <w:bCs/>
          <w:i/>
          <w:iCs/>
          <w:color w:val="000000"/>
        </w:rPr>
        <w:t xml:space="preserve"> </w:t>
      </w:r>
      <w:r w:rsidR="0079370E">
        <w:rPr>
          <w:rFonts w:cs="Arial"/>
          <w:b/>
          <w:bCs/>
          <w:i/>
          <w:iCs/>
          <w:color w:val="000000"/>
        </w:rPr>
        <w:t>Няма такива</w:t>
      </w:r>
    </w:p>
    <w:p w14:paraId="385C258C" w14:textId="77777777" w:rsidR="005154CE" w:rsidRDefault="005154CE" w:rsidP="00514E23">
      <w:pPr>
        <w:jc w:val="both"/>
        <w:rPr>
          <w:rFonts w:eastAsia="Times New Roman" w:cs="Calibri"/>
          <w:b/>
          <w:lang w:eastAsia="bg-BG"/>
        </w:rPr>
      </w:pPr>
    </w:p>
    <w:p w14:paraId="421932BE" w14:textId="6CB33A2E" w:rsidR="00045117" w:rsidRPr="005825A7" w:rsidRDefault="00045117" w:rsidP="002228B1">
      <w:pPr>
        <w:numPr>
          <w:ilvl w:val="0"/>
          <w:numId w:val="8"/>
        </w:numPr>
        <w:ind w:right="181"/>
        <w:jc w:val="both"/>
        <w:rPr>
          <w:rFonts w:cs="Arial"/>
          <w:b/>
          <w:bCs/>
          <w:i/>
          <w:iCs/>
          <w:color w:val="000000"/>
        </w:rPr>
      </w:pPr>
      <w:r w:rsidRPr="005825A7">
        <w:rPr>
          <w:rFonts w:cs="Arial"/>
          <w:b/>
          <w:bCs/>
          <w:i/>
          <w:iCs/>
          <w:color w:val="000000"/>
        </w:rPr>
        <w:t xml:space="preserve">Информация за </w:t>
      </w:r>
      <w:r>
        <w:rPr>
          <w:rFonts w:cs="Arial"/>
          <w:b/>
          <w:bCs/>
          <w:i/>
          <w:iCs/>
          <w:color w:val="000000"/>
        </w:rPr>
        <w:t>основните инвестиции в страната и чужбина</w:t>
      </w:r>
      <w:r w:rsidRPr="005825A7">
        <w:rPr>
          <w:rFonts w:cs="Arial"/>
          <w:b/>
          <w:bCs/>
          <w:i/>
          <w:iCs/>
          <w:color w:val="000000"/>
        </w:rPr>
        <w:t>:</w:t>
      </w:r>
      <w:r w:rsidR="00BA3044">
        <w:rPr>
          <w:rFonts w:cs="Arial"/>
          <w:b/>
          <w:bCs/>
          <w:i/>
          <w:iCs/>
          <w:color w:val="000000"/>
        </w:rPr>
        <w:t xml:space="preserve"> </w:t>
      </w:r>
      <w:r w:rsidR="0079370E">
        <w:rPr>
          <w:rFonts w:cs="Arial"/>
          <w:b/>
          <w:bCs/>
          <w:i/>
          <w:iCs/>
          <w:color w:val="000000"/>
        </w:rPr>
        <w:t>Няма такива</w:t>
      </w:r>
    </w:p>
    <w:p w14:paraId="5BBC766B" w14:textId="77777777" w:rsidR="00045117" w:rsidRDefault="00045117" w:rsidP="00045117">
      <w:pPr>
        <w:jc w:val="both"/>
        <w:rPr>
          <w:rFonts w:eastAsia="Times New Roman" w:cs="Calibri"/>
          <w:b/>
          <w:lang w:eastAsia="bg-BG"/>
        </w:rPr>
      </w:pPr>
    </w:p>
    <w:p w14:paraId="6817C714" w14:textId="27A41797" w:rsidR="00096141" w:rsidRPr="005825A7" w:rsidRDefault="00096141" w:rsidP="002228B1">
      <w:pPr>
        <w:numPr>
          <w:ilvl w:val="0"/>
          <w:numId w:val="8"/>
        </w:numPr>
        <w:ind w:right="181"/>
        <w:jc w:val="both"/>
        <w:rPr>
          <w:rFonts w:cs="Arial"/>
          <w:b/>
          <w:bCs/>
          <w:i/>
          <w:iCs/>
          <w:color w:val="000000"/>
        </w:rPr>
      </w:pPr>
      <w:r w:rsidRPr="005825A7">
        <w:rPr>
          <w:rFonts w:cs="Arial"/>
          <w:b/>
          <w:bCs/>
          <w:i/>
          <w:iCs/>
          <w:color w:val="000000"/>
        </w:rPr>
        <w:t xml:space="preserve">Информация за </w:t>
      </w:r>
      <w:r>
        <w:rPr>
          <w:rFonts w:cs="Arial"/>
          <w:b/>
          <w:bCs/>
          <w:i/>
          <w:iCs/>
          <w:color w:val="000000"/>
        </w:rPr>
        <w:t xml:space="preserve">инвестиции в дялови ценни книжа </w:t>
      </w:r>
      <w:r w:rsidR="0079370E">
        <w:rPr>
          <w:rFonts w:cs="Arial"/>
          <w:b/>
          <w:bCs/>
          <w:i/>
          <w:iCs/>
          <w:color w:val="000000"/>
        </w:rPr>
        <w:t xml:space="preserve">извън групата предприятия на „ДКЦ Чайка </w:t>
      </w:r>
      <w:r>
        <w:rPr>
          <w:rFonts w:cs="Arial"/>
          <w:b/>
          <w:bCs/>
          <w:i/>
          <w:iCs/>
          <w:color w:val="000000"/>
        </w:rPr>
        <w:t>“</w:t>
      </w:r>
      <w:r w:rsidR="0079370E">
        <w:rPr>
          <w:rFonts w:cs="Arial"/>
          <w:b/>
          <w:bCs/>
          <w:i/>
          <w:iCs/>
          <w:color w:val="000000"/>
        </w:rPr>
        <w:t>Е</w:t>
      </w:r>
      <w:r>
        <w:rPr>
          <w:rFonts w:cs="Arial"/>
          <w:b/>
          <w:bCs/>
          <w:i/>
          <w:iCs/>
          <w:color w:val="000000"/>
        </w:rPr>
        <w:t xml:space="preserve"> </w:t>
      </w:r>
      <w:r w:rsidR="009F1450">
        <w:rPr>
          <w:rFonts w:cs="Arial"/>
          <w:b/>
          <w:bCs/>
          <w:i/>
          <w:iCs/>
          <w:color w:val="000000"/>
        </w:rPr>
        <w:t>ООД</w:t>
      </w:r>
      <w:r w:rsidRPr="005825A7">
        <w:rPr>
          <w:rFonts w:cs="Arial"/>
          <w:b/>
          <w:bCs/>
          <w:i/>
          <w:iCs/>
          <w:color w:val="000000"/>
        </w:rPr>
        <w:t>:</w:t>
      </w:r>
      <w:r w:rsidR="00BA3044">
        <w:rPr>
          <w:rFonts w:cs="Arial"/>
          <w:b/>
          <w:bCs/>
          <w:i/>
          <w:iCs/>
          <w:color w:val="000000"/>
        </w:rPr>
        <w:t xml:space="preserve"> </w:t>
      </w:r>
      <w:r w:rsidR="0079370E">
        <w:rPr>
          <w:rFonts w:cs="Arial"/>
          <w:b/>
          <w:bCs/>
          <w:i/>
          <w:iCs/>
          <w:color w:val="000000"/>
        </w:rPr>
        <w:t>Няма такива</w:t>
      </w:r>
    </w:p>
    <w:p w14:paraId="733D2CCB" w14:textId="77777777" w:rsidR="00096141" w:rsidRDefault="00096141" w:rsidP="00096141">
      <w:pPr>
        <w:jc w:val="both"/>
        <w:rPr>
          <w:rFonts w:eastAsia="Times New Roman" w:cs="Calibri"/>
          <w:b/>
          <w:lang w:eastAsia="bg-BG"/>
        </w:rPr>
      </w:pPr>
    </w:p>
    <w:p w14:paraId="0CEC627B" w14:textId="77777777" w:rsidR="00096141" w:rsidRDefault="00096141" w:rsidP="00045117">
      <w:pPr>
        <w:ind w:left="720" w:right="181"/>
        <w:jc w:val="both"/>
        <w:rPr>
          <w:rFonts w:eastAsia="Times New Roman" w:cs="Calibri"/>
          <w:b/>
          <w:lang w:eastAsia="bg-BG"/>
        </w:rPr>
      </w:pPr>
    </w:p>
    <w:p w14:paraId="638AD08A" w14:textId="1872D53A" w:rsidR="00096141" w:rsidRPr="00316233" w:rsidRDefault="009F1450" w:rsidP="002228B1">
      <w:pPr>
        <w:pStyle w:val="NoSpacing"/>
        <w:shd w:val="clear" w:color="auto" w:fill="E36C0A"/>
        <w:autoSpaceDE w:val="0"/>
        <w:autoSpaceDN w:val="0"/>
        <w:adjustRightInd w:val="0"/>
        <w:jc w:val="both"/>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pPr>
      <w:r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XI</w:t>
      </w:r>
      <w:r w:rsidR="00096141"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СКЛЮЧЕНИ от „</w:t>
      </w:r>
      <w:r w:rsidR="00B24911"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ДКЦ Чайка</w:t>
      </w:r>
      <w:proofErr w:type="gramStart"/>
      <w:r w:rsidR="00096141"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00B24911"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Е</w:t>
      </w:r>
      <w:r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ООД</w:t>
      </w:r>
      <w:proofErr w:type="gramEnd"/>
      <w:r w:rsidR="00096141"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ДЪЩЕРНО ДРУЖЕСТВО ИЛИ ДРУЖЕСТВО</w:t>
      </w:r>
      <w:r w:rsidR="00C96011"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МАЙКА</w:t>
      </w:r>
      <w:r w:rsidR="00096141"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 ДОГОВОРИ ЗА ЗАЕМ</w:t>
      </w:r>
      <w:r w:rsidR="004E536E"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004E536E"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в качеството на заемополучатели</w:t>
      </w:r>
      <w:r w:rsidR="00096141"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 (съгл. т. </w:t>
      </w:r>
      <w:r w:rsidR="005D0B47"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8</w:t>
      </w:r>
      <w:r w:rsidR="00096141"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 от Приложение № </w:t>
      </w:r>
      <w:r w:rsidR="000D55FF">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2</w:t>
      </w:r>
      <w:r w:rsidR="00096141"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w:t>
      </w:r>
    </w:p>
    <w:p w14:paraId="5F6F1F63" w14:textId="77777777" w:rsidR="00096141" w:rsidRDefault="00096141" w:rsidP="00096141">
      <w:pPr>
        <w:jc w:val="both"/>
        <w:rPr>
          <w:rFonts w:eastAsia="Times New Roman" w:cs="Calibri"/>
          <w:b/>
          <w:lang w:eastAsia="bg-BG"/>
        </w:rPr>
      </w:pPr>
    </w:p>
    <w:p w14:paraId="45141053" w14:textId="77777777" w:rsidR="00096141" w:rsidRDefault="00096141" w:rsidP="002228B1">
      <w:pPr>
        <w:numPr>
          <w:ilvl w:val="0"/>
          <w:numId w:val="8"/>
        </w:numPr>
        <w:ind w:right="181"/>
        <w:jc w:val="both"/>
        <w:rPr>
          <w:rFonts w:cs="Arial"/>
          <w:b/>
          <w:bCs/>
          <w:i/>
          <w:iCs/>
          <w:color w:val="000000"/>
        </w:rPr>
      </w:pPr>
      <w:r w:rsidRPr="005825A7">
        <w:rPr>
          <w:rFonts w:cs="Arial"/>
          <w:b/>
          <w:bCs/>
          <w:i/>
          <w:iCs/>
          <w:color w:val="000000"/>
        </w:rPr>
        <w:t xml:space="preserve">Информация за </w:t>
      </w:r>
      <w:r w:rsidR="00B24911">
        <w:rPr>
          <w:rFonts w:cs="Arial"/>
          <w:b/>
          <w:bCs/>
          <w:i/>
          <w:iCs/>
          <w:color w:val="000000"/>
        </w:rPr>
        <w:t>сключени от „ДКЦ Чайка</w:t>
      </w:r>
      <w:r>
        <w:rPr>
          <w:rFonts w:cs="Arial"/>
          <w:b/>
          <w:bCs/>
          <w:i/>
          <w:iCs/>
          <w:color w:val="000000"/>
        </w:rPr>
        <w:t xml:space="preserve">“ </w:t>
      </w:r>
      <w:r w:rsidR="00B24911">
        <w:rPr>
          <w:rFonts w:cs="Arial"/>
          <w:b/>
          <w:bCs/>
          <w:i/>
          <w:iCs/>
          <w:color w:val="000000"/>
        </w:rPr>
        <w:t>Е</w:t>
      </w:r>
      <w:r w:rsidR="00E50CB3">
        <w:rPr>
          <w:rFonts w:cs="Arial"/>
          <w:b/>
          <w:bCs/>
          <w:i/>
          <w:iCs/>
          <w:color w:val="000000"/>
        </w:rPr>
        <w:t>ОО</w:t>
      </w:r>
      <w:r>
        <w:rPr>
          <w:rFonts w:cs="Arial"/>
          <w:b/>
          <w:bCs/>
          <w:i/>
          <w:iCs/>
          <w:color w:val="000000"/>
        </w:rPr>
        <w:t>Д договори за заем</w:t>
      </w:r>
      <w:r w:rsidRPr="005825A7">
        <w:rPr>
          <w:rFonts w:cs="Arial"/>
          <w:b/>
          <w:bCs/>
          <w:i/>
          <w:iCs/>
          <w:color w:val="000000"/>
        </w:rPr>
        <w:t>:</w:t>
      </w:r>
      <w:r w:rsidR="00265694">
        <w:rPr>
          <w:rFonts w:cs="Arial"/>
          <w:b/>
          <w:bCs/>
          <w:i/>
          <w:iCs/>
          <w:color w:val="000000"/>
        </w:rPr>
        <w:t xml:space="preserve"> Няма такива</w:t>
      </w:r>
    </w:p>
    <w:p w14:paraId="2DC3278E" w14:textId="77777777" w:rsidR="00096141" w:rsidRDefault="00096141" w:rsidP="00045117">
      <w:pPr>
        <w:ind w:left="720" w:right="181"/>
        <w:jc w:val="both"/>
        <w:rPr>
          <w:rFonts w:eastAsia="Times New Roman" w:cs="Calibri"/>
          <w:b/>
          <w:lang w:eastAsia="bg-BG"/>
        </w:rPr>
      </w:pPr>
    </w:p>
    <w:p w14:paraId="32D13F8A" w14:textId="55BB2DD3" w:rsidR="00096141" w:rsidRPr="005825A7" w:rsidRDefault="00096141" w:rsidP="002228B1">
      <w:pPr>
        <w:numPr>
          <w:ilvl w:val="0"/>
          <w:numId w:val="8"/>
        </w:numPr>
        <w:ind w:right="181"/>
        <w:jc w:val="both"/>
        <w:rPr>
          <w:rFonts w:cs="Arial"/>
          <w:b/>
          <w:bCs/>
          <w:i/>
          <w:iCs/>
          <w:color w:val="000000"/>
        </w:rPr>
      </w:pPr>
      <w:r w:rsidRPr="005825A7">
        <w:rPr>
          <w:rFonts w:cs="Arial"/>
          <w:b/>
          <w:bCs/>
          <w:i/>
          <w:iCs/>
          <w:color w:val="000000"/>
        </w:rPr>
        <w:t xml:space="preserve">Информация за </w:t>
      </w:r>
      <w:r>
        <w:rPr>
          <w:rFonts w:cs="Arial"/>
          <w:b/>
          <w:bCs/>
          <w:i/>
          <w:iCs/>
          <w:color w:val="000000"/>
        </w:rPr>
        <w:t xml:space="preserve">сключени от </w:t>
      </w:r>
      <w:r w:rsidR="00C96011">
        <w:rPr>
          <w:rFonts w:cs="Arial"/>
          <w:b/>
          <w:bCs/>
          <w:i/>
          <w:iCs/>
          <w:color w:val="000000"/>
        </w:rPr>
        <w:t xml:space="preserve">дъщерно дружество на </w:t>
      </w:r>
      <w:r w:rsidR="006614E9">
        <w:rPr>
          <w:rFonts w:cs="Arial"/>
          <w:b/>
          <w:bCs/>
          <w:i/>
          <w:iCs/>
          <w:color w:val="000000"/>
        </w:rPr>
        <w:t>„ДКЦ Чайка</w:t>
      </w:r>
      <w:r>
        <w:rPr>
          <w:rFonts w:cs="Arial"/>
          <w:b/>
          <w:bCs/>
          <w:i/>
          <w:iCs/>
          <w:color w:val="000000"/>
        </w:rPr>
        <w:t xml:space="preserve">“ </w:t>
      </w:r>
      <w:r w:rsidR="00E50CB3">
        <w:rPr>
          <w:rFonts w:cs="Arial"/>
          <w:b/>
          <w:bCs/>
          <w:i/>
          <w:iCs/>
          <w:color w:val="000000"/>
        </w:rPr>
        <w:t>ОО</w:t>
      </w:r>
      <w:r>
        <w:rPr>
          <w:rFonts w:cs="Arial"/>
          <w:b/>
          <w:bCs/>
          <w:i/>
          <w:iCs/>
          <w:color w:val="000000"/>
        </w:rPr>
        <w:t>Д договори за заем</w:t>
      </w:r>
      <w:r w:rsidRPr="005825A7">
        <w:rPr>
          <w:rFonts w:cs="Arial"/>
          <w:b/>
          <w:bCs/>
          <w:i/>
          <w:iCs/>
          <w:color w:val="000000"/>
        </w:rPr>
        <w:t>:</w:t>
      </w:r>
      <w:r w:rsidR="00A6252B">
        <w:rPr>
          <w:rFonts w:cs="Arial"/>
          <w:b/>
          <w:bCs/>
          <w:i/>
          <w:iCs/>
          <w:color w:val="000000"/>
        </w:rPr>
        <w:t xml:space="preserve"> </w:t>
      </w:r>
      <w:r w:rsidR="006609DB">
        <w:rPr>
          <w:rFonts w:cs="Arial"/>
          <w:b/>
          <w:bCs/>
          <w:i/>
          <w:iCs/>
          <w:color w:val="000000"/>
        </w:rPr>
        <w:t>Няма такива</w:t>
      </w:r>
    </w:p>
    <w:p w14:paraId="207F5984" w14:textId="77777777" w:rsidR="00096141" w:rsidRDefault="00096141" w:rsidP="00096141">
      <w:pPr>
        <w:jc w:val="both"/>
        <w:rPr>
          <w:rFonts w:eastAsia="Times New Roman" w:cs="Calibri"/>
          <w:b/>
          <w:lang w:eastAsia="bg-BG"/>
        </w:rPr>
      </w:pPr>
    </w:p>
    <w:p w14:paraId="5099E243" w14:textId="280CF786" w:rsidR="00C96011" w:rsidRPr="005825A7" w:rsidRDefault="00C96011" w:rsidP="002228B1">
      <w:pPr>
        <w:numPr>
          <w:ilvl w:val="0"/>
          <w:numId w:val="8"/>
        </w:numPr>
        <w:ind w:right="181"/>
        <w:jc w:val="both"/>
        <w:rPr>
          <w:rFonts w:cs="Arial"/>
          <w:b/>
          <w:bCs/>
          <w:i/>
          <w:iCs/>
          <w:color w:val="000000"/>
        </w:rPr>
      </w:pPr>
      <w:r w:rsidRPr="005825A7">
        <w:rPr>
          <w:rFonts w:cs="Arial"/>
          <w:b/>
          <w:bCs/>
          <w:i/>
          <w:iCs/>
          <w:color w:val="000000"/>
        </w:rPr>
        <w:t xml:space="preserve">Информация за </w:t>
      </w:r>
      <w:r>
        <w:rPr>
          <w:rFonts w:cs="Arial"/>
          <w:b/>
          <w:bCs/>
          <w:i/>
          <w:iCs/>
          <w:color w:val="000000"/>
        </w:rPr>
        <w:t>с</w:t>
      </w:r>
      <w:r w:rsidR="006609DB">
        <w:rPr>
          <w:rFonts w:cs="Arial"/>
          <w:b/>
          <w:bCs/>
          <w:i/>
          <w:iCs/>
          <w:color w:val="000000"/>
        </w:rPr>
        <w:t>ключени от дружество майка на „ДКЦ Чайка</w:t>
      </w:r>
      <w:r>
        <w:rPr>
          <w:rFonts w:cs="Arial"/>
          <w:b/>
          <w:bCs/>
          <w:i/>
          <w:iCs/>
          <w:color w:val="000000"/>
        </w:rPr>
        <w:t>“</w:t>
      </w:r>
      <w:r w:rsidR="006609DB">
        <w:rPr>
          <w:rFonts w:cs="Arial"/>
          <w:b/>
          <w:bCs/>
          <w:i/>
          <w:iCs/>
          <w:color w:val="000000"/>
        </w:rPr>
        <w:t>Е</w:t>
      </w:r>
      <w:r w:rsidR="00E50CB3">
        <w:rPr>
          <w:rFonts w:cs="Arial"/>
          <w:b/>
          <w:bCs/>
          <w:i/>
          <w:iCs/>
          <w:color w:val="000000"/>
        </w:rPr>
        <w:t xml:space="preserve">ООД </w:t>
      </w:r>
      <w:r>
        <w:rPr>
          <w:rFonts w:cs="Arial"/>
          <w:b/>
          <w:bCs/>
          <w:i/>
          <w:iCs/>
          <w:color w:val="000000"/>
        </w:rPr>
        <w:t>договори за заем</w:t>
      </w:r>
      <w:r w:rsidRPr="005825A7">
        <w:rPr>
          <w:rFonts w:cs="Arial"/>
          <w:b/>
          <w:bCs/>
          <w:i/>
          <w:iCs/>
          <w:color w:val="000000"/>
        </w:rPr>
        <w:t>:</w:t>
      </w:r>
      <w:r w:rsidR="00A6252B">
        <w:rPr>
          <w:rFonts w:cs="Arial"/>
          <w:b/>
          <w:bCs/>
          <w:i/>
          <w:iCs/>
          <w:color w:val="000000"/>
        </w:rPr>
        <w:t xml:space="preserve"> </w:t>
      </w:r>
      <w:r w:rsidR="006609DB">
        <w:rPr>
          <w:rFonts w:cs="Arial"/>
          <w:b/>
          <w:bCs/>
          <w:i/>
          <w:iCs/>
          <w:color w:val="000000"/>
        </w:rPr>
        <w:t>Няма такива</w:t>
      </w:r>
    </w:p>
    <w:p w14:paraId="3A89FEDB" w14:textId="77777777" w:rsidR="00C96011" w:rsidRDefault="00C96011" w:rsidP="00C96011">
      <w:pPr>
        <w:jc w:val="both"/>
        <w:rPr>
          <w:rFonts w:eastAsia="Times New Roman" w:cs="Calibri"/>
          <w:b/>
          <w:lang w:eastAsia="bg-BG"/>
        </w:rPr>
      </w:pPr>
    </w:p>
    <w:p w14:paraId="5B02DB38" w14:textId="5EC4E32D" w:rsidR="004E536E" w:rsidRPr="00316233" w:rsidRDefault="00E50CB3" w:rsidP="002228B1">
      <w:pPr>
        <w:pStyle w:val="NoSpacing"/>
        <w:shd w:val="clear" w:color="auto" w:fill="E36C0A"/>
        <w:autoSpaceDE w:val="0"/>
        <w:autoSpaceDN w:val="0"/>
        <w:adjustRightInd w:val="0"/>
        <w:jc w:val="both"/>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pPr>
      <w:r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XII</w:t>
      </w:r>
      <w:r w:rsidR="006609DB"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СКЛЮЧЕНИ от „ДКЦ Чайка</w:t>
      </w:r>
      <w:proofErr w:type="gramStart"/>
      <w:r w:rsidR="004E536E"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006609DB"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Е</w:t>
      </w:r>
      <w:r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ОО</w:t>
      </w:r>
      <w:r w:rsidR="004E536E"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Д</w:t>
      </w:r>
      <w:proofErr w:type="gramEnd"/>
      <w:r w:rsidR="004E536E"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 ДЪЩЕРНО ДРУЖЕСТВО ИЛИ ДРУЖЕСТВО </w:t>
      </w:r>
      <w:r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МАЙКА</w:t>
      </w:r>
      <w:r w:rsidR="004E536E"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 ДОГОВОРИ ЗА ЗАЕМ</w:t>
      </w:r>
      <w:r w:rsidR="004E536E"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 в качеството на </w:t>
      </w:r>
      <w:r w:rsidR="004E536E"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заемодатели (съгл. т. 9 от Приложение № </w:t>
      </w:r>
      <w:r w:rsidR="000D55FF">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2</w:t>
      </w:r>
      <w:r w:rsidR="004E536E"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w:t>
      </w:r>
    </w:p>
    <w:p w14:paraId="17A0CE03" w14:textId="77777777" w:rsidR="004E536E" w:rsidRDefault="004E536E" w:rsidP="004E536E">
      <w:pPr>
        <w:jc w:val="both"/>
        <w:rPr>
          <w:rFonts w:eastAsia="Times New Roman" w:cs="Calibri"/>
          <w:b/>
          <w:lang w:eastAsia="bg-BG"/>
        </w:rPr>
      </w:pPr>
    </w:p>
    <w:p w14:paraId="0F0BF454" w14:textId="2484610E" w:rsidR="004E536E" w:rsidRPr="005825A7" w:rsidRDefault="004E536E" w:rsidP="002228B1">
      <w:pPr>
        <w:numPr>
          <w:ilvl w:val="0"/>
          <w:numId w:val="8"/>
        </w:numPr>
        <w:ind w:right="181"/>
        <w:jc w:val="both"/>
        <w:rPr>
          <w:rFonts w:cs="Arial"/>
          <w:b/>
          <w:bCs/>
          <w:i/>
          <w:iCs/>
          <w:color w:val="000000"/>
        </w:rPr>
      </w:pPr>
      <w:r w:rsidRPr="005825A7">
        <w:rPr>
          <w:rFonts w:cs="Arial"/>
          <w:b/>
          <w:bCs/>
          <w:i/>
          <w:iCs/>
          <w:color w:val="000000"/>
        </w:rPr>
        <w:t xml:space="preserve">Информация за </w:t>
      </w:r>
      <w:r w:rsidR="006609DB">
        <w:rPr>
          <w:rFonts w:cs="Arial"/>
          <w:b/>
          <w:bCs/>
          <w:i/>
          <w:iCs/>
          <w:color w:val="000000"/>
        </w:rPr>
        <w:t>сключени от „ДКЦ Чайка</w:t>
      </w:r>
      <w:r>
        <w:rPr>
          <w:rFonts w:cs="Arial"/>
          <w:b/>
          <w:bCs/>
          <w:i/>
          <w:iCs/>
          <w:color w:val="000000"/>
        </w:rPr>
        <w:t xml:space="preserve">“ </w:t>
      </w:r>
      <w:r w:rsidR="006609DB">
        <w:rPr>
          <w:rFonts w:cs="Arial"/>
          <w:b/>
          <w:bCs/>
          <w:i/>
          <w:iCs/>
          <w:color w:val="000000"/>
        </w:rPr>
        <w:t>Е</w:t>
      </w:r>
      <w:r w:rsidR="00E50CB3">
        <w:rPr>
          <w:rFonts w:cs="Arial"/>
          <w:b/>
          <w:bCs/>
          <w:i/>
          <w:iCs/>
          <w:color w:val="000000"/>
        </w:rPr>
        <w:t xml:space="preserve">ООД </w:t>
      </w:r>
      <w:r>
        <w:rPr>
          <w:rFonts w:cs="Arial"/>
          <w:b/>
          <w:bCs/>
          <w:i/>
          <w:iCs/>
          <w:color w:val="000000"/>
        </w:rPr>
        <w:t>договори за заем</w:t>
      </w:r>
      <w:r w:rsidRPr="005825A7">
        <w:rPr>
          <w:rFonts w:cs="Arial"/>
          <w:b/>
          <w:bCs/>
          <w:i/>
          <w:iCs/>
          <w:color w:val="000000"/>
        </w:rPr>
        <w:t>:</w:t>
      </w:r>
      <w:r w:rsidR="00A6252B">
        <w:rPr>
          <w:rFonts w:cs="Arial"/>
          <w:b/>
          <w:bCs/>
          <w:i/>
          <w:iCs/>
          <w:color w:val="000000"/>
        </w:rPr>
        <w:t xml:space="preserve"> </w:t>
      </w:r>
      <w:r w:rsidR="006609DB">
        <w:rPr>
          <w:rFonts w:cs="Arial"/>
          <w:b/>
          <w:bCs/>
          <w:i/>
          <w:iCs/>
          <w:color w:val="000000"/>
        </w:rPr>
        <w:t>Няма такива</w:t>
      </w:r>
    </w:p>
    <w:p w14:paraId="58A8E693" w14:textId="77777777" w:rsidR="004E536E" w:rsidRDefault="004E536E" w:rsidP="004E536E">
      <w:pPr>
        <w:jc w:val="both"/>
        <w:rPr>
          <w:rFonts w:eastAsia="Times New Roman" w:cs="Calibri"/>
          <w:b/>
          <w:lang w:eastAsia="bg-BG"/>
        </w:rPr>
      </w:pPr>
    </w:p>
    <w:p w14:paraId="62A267BF" w14:textId="6A0F7732" w:rsidR="004E536E" w:rsidRPr="005825A7" w:rsidRDefault="004E536E" w:rsidP="002228B1">
      <w:pPr>
        <w:numPr>
          <w:ilvl w:val="0"/>
          <w:numId w:val="8"/>
        </w:numPr>
        <w:ind w:right="181"/>
        <w:jc w:val="both"/>
        <w:rPr>
          <w:rFonts w:cs="Arial"/>
          <w:b/>
          <w:bCs/>
          <w:i/>
          <w:iCs/>
          <w:color w:val="000000"/>
        </w:rPr>
      </w:pPr>
      <w:r w:rsidRPr="005825A7">
        <w:rPr>
          <w:rFonts w:cs="Arial"/>
          <w:b/>
          <w:bCs/>
          <w:i/>
          <w:iCs/>
          <w:color w:val="000000"/>
        </w:rPr>
        <w:t xml:space="preserve">Информация за </w:t>
      </w:r>
      <w:r>
        <w:rPr>
          <w:rFonts w:cs="Arial"/>
          <w:b/>
          <w:bCs/>
          <w:i/>
          <w:iCs/>
          <w:color w:val="000000"/>
        </w:rPr>
        <w:t>сключени от дъщерно дружество на „</w:t>
      </w:r>
      <w:r w:rsidR="006609DB">
        <w:rPr>
          <w:rFonts w:cs="Arial"/>
          <w:b/>
          <w:bCs/>
          <w:i/>
          <w:iCs/>
          <w:color w:val="000000"/>
        </w:rPr>
        <w:t>ДКЦ Чайка“ ЕООД</w:t>
      </w:r>
      <w:r>
        <w:rPr>
          <w:rFonts w:cs="Arial"/>
          <w:b/>
          <w:bCs/>
          <w:i/>
          <w:iCs/>
          <w:color w:val="000000"/>
        </w:rPr>
        <w:t xml:space="preserve"> договори за заем</w:t>
      </w:r>
      <w:r w:rsidRPr="005825A7">
        <w:rPr>
          <w:rFonts w:cs="Arial"/>
          <w:b/>
          <w:bCs/>
          <w:i/>
          <w:iCs/>
          <w:color w:val="000000"/>
        </w:rPr>
        <w:t>:</w:t>
      </w:r>
      <w:r w:rsidR="00A6252B">
        <w:rPr>
          <w:rFonts w:cs="Arial"/>
          <w:b/>
          <w:bCs/>
          <w:i/>
          <w:iCs/>
          <w:color w:val="000000"/>
        </w:rPr>
        <w:t xml:space="preserve"> </w:t>
      </w:r>
      <w:r w:rsidR="006609DB">
        <w:rPr>
          <w:rFonts w:cs="Arial"/>
          <w:b/>
          <w:bCs/>
          <w:i/>
          <w:iCs/>
          <w:color w:val="000000"/>
        </w:rPr>
        <w:t>Няма такива</w:t>
      </w:r>
    </w:p>
    <w:p w14:paraId="0B72FC22" w14:textId="77777777" w:rsidR="004E536E" w:rsidRDefault="004E536E" w:rsidP="004E536E">
      <w:pPr>
        <w:jc w:val="both"/>
        <w:rPr>
          <w:rFonts w:eastAsia="Times New Roman" w:cs="Calibri"/>
          <w:b/>
          <w:lang w:eastAsia="bg-BG"/>
        </w:rPr>
      </w:pPr>
    </w:p>
    <w:p w14:paraId="553F4D7C" w14:textId="73ADDA6F" w:rsidR="004E536E" w:rsidRPr="005825A7" w:rsidRDefault="004E536E" w:rsidP="002228B1">
      <w:pPr>
        <w:numPr>
          <w:ilvl w:val="0"/>
          <w:numId w:val="8"/>
        </w:numPr>
        <w:ind w:right="181"/>
        <w:jc w:val="both"/>
        <w:rPr>
          <w:rFonts w:cs="Arial"/>
          <w:b/>
          <w:bCs/>
          <w:i/>
          <w:iCs/>
          <w:color w:val="000000"/>
        </w:rPr>
      </w:pPr>
      <w:r w:rsidRPr="005825A7">
        <w:rPr>
          <w:rFonts w:cs="Arial"/>
          <w:b/>
          <w:bCs/>
          <w:i/>
          <w:iCs/>
          <w:color w:val="000000"/>
        </w:rPr>
        <w:t xml:space="preserve">Информация за </w:t>
      </w:r>
      <w:r>
        <w:rPr>
          <w:rFonts w:cs="Arial"/>
          <w:b/>
          <w:bCs/>
          <w:i/>
          <w:iCs/>
          <w:color w:val="000000"/>
        </w:rPr>
        <w:t>сключени от дружество майка на „</w:t>
      </w:r>
      <w:r w:rsidR="006609DB">
        <w:rPr>
          <w:rFonts w:cs="Arial"/>
          <w:b/>
          <w:bCs/>
          <w:i/>
          <w:iCs/>
          <w:color w:val="000000"/>
        </w:rPr>
        <w:t>ДКЦ Чайка“ ЕООД</w:t>
      </w:r>
      <w:r w:rsidR="00E50CB3">
        <w:rPr>
          <w:rFonts w:cs="Arial"/>
          <w:b/>
          <w:bCs/>
          <w:i/>
          <w:iCs/>
          <w:color w:val="000000"/>
        </w:rPr>
        <w:t xml:space="preserve"> </w:t>
      </w:r>
      <w:r>
        <w:rPr>
          <w:rFonts w:cs="Arial"/>
          <w:b/>
          <w:bCs/>
          <w:i/>
          <w:iCs/>
          <w:color w:val="000000"/>
        </w:rPr>
        <w:t>договори за заем</w:t>
      </w:r>
      <w:r w:rsidRPr="005825A7">
        <w:rPr>
          <w:rFonts w:cs="Arial"/>
          <w:b/>
          <w:bCs/>
          <w:i/>
          <w:iCs/>
          <w:color w:val="000000"/>
        </w:rPr>
        <w:t>:</w:t>
      </w:r>
      <w:r w:rsidR="00A6252B">
        <w:rPr>
          <w:rFonts w:cs="Arial"/>
          <w:b/>
          <w:bCs/>
          <w:i/>
          <w:iCs/>
          <w:color w:val="000000"/>
        </w:rPr>
        <w:t xml:space="preserve"> </w:t>
      </w:r>
      <w:r w:rsidR="006609DB">
        <w:rPr>
          <w:rFonts w:cs="Arial"/>
          <w:b/>
          <w:bCs/>
          <w:i/>
          <w:iCs/>
          <w:color w:val="000000"/>
        </w:rPr>
        <w:t>Няма такива</w:t>
      </w:r>
    </w:p>
    <w:p w14:paraId="788C8388" w14:textId="77777777" w:rsidR="004E536E" w:rsidRDefault="004E536E" w:rsidP="00045117">
      <w:pPr>
        <w:ind w:left="720" w:right="181"/>
        <w:jc w:val="both"/>
        <w:rPr>
          <w:rFonts w:eastAsia="Times New Roman" w:cs="Calibri"/>
          <w:b/>
          <w:lang w:eastAsia="bg-BG"/>
        </w:rPr>
      </w:pPr>
    </w:p>
    <w:p w14:paraId="419EF16A" w14:textId="2C076BF3" w:rsidR="004E536E" w:rsidRPr="005825A7" w:rsidRDefault="004E536E" w:rsidP="002228B1">
      <w:pPr>
        <w:numPr>
          <w:ilvl w:val="0"/>
          <w:numId w:val="8"/>
        </w:numPr>
        <w:ind w:right="181"/>
        <w:jc w:val="both"/>
        <w:rPr>
          <w:rFonts w:cs="Arial"/>
          <w:b/>
          <w:bCs/>
          <w:i/>
          <w:iCs/>
          <w:color w:val="000000"/>
        </w:rPr>
      </w:pPr>
      <w:r w:rsidRPr="005825A7">
        <w:rPr>
          <w:rFonts w:cs="Arial"/>
          <w:b/>
          <w:bCs/>
          <w:i/>
          <w:iCs/>
          <w:color w:val="000000"/>
        </w:rPr>
        <w:t xml:space="preserve">Информация за </w:t>
      </w:r>
      <w:r>
        <w:rPr>
          <w:rFonts w:cs="Arial"/>
          <w:b/>
          <w:bCs/>
          <w:i/>
          <w:iCs/>
          <w:color w:val="000000"/>
        </w:rPr>
        <w:t>предоставени гаранции, вкл</w:t>
      </w:r>
      <w:r w:rsidR="00D86A64">
        <w:rPr>
          <w:rFonts w:cs="Arial"/>
          <w:b/>
          <w:bCs/>
          <w:i/>
          <w:iCs/>
          <w:color w:val="000000"/>
        </w:rPr>
        <w:t>ю</w:t>
      </w:r>
      <w:r>
        <w:rPr>
          <w:rFonts w:cs="Arial"/>
          <w:b/>
          <w:bCs/>
          <w:i/>
          <w:iCs/>
          <w:color w:val="000000"/>
        </w:rPr>
        <w:t>чително на свързани лица</w:t>
      </w:r>
      <w:r w:rsidRPr="005825A7">
        <w:rPr>
          <w:rFonts w:cs="Arial"/>
          <w:b/>
          <w:bCs/>
          <w:i/>
          <w:iCs/>
          <w:color w:val="000000"/>
        </w:rPr>
        <w:t>:</w:t>
      </w:r>
      <w:r w:rsidR="00A6252B">
        <w:rPr>
          <w:rFonts w:cs="Arial"/>
          <w:b/>
          <w:bCs/>
          <w:i/>
          <w:iCs/>
          <w:color w:val="000000"/>
        </w:rPr>
        <w:t xml:space="preserve"> </w:t>
      </w:r>
      <w:r w:rsidR="006609DB">
        <w:rPr>
          <w:rFonts w:cs="Arial"/>
          <w:b/>
          <w:bCs/>
          <w:i/>
          <w:iCs/>
          <w:color w:val="000000"/>
        </w:rPr>
        <w:t>Няма такива</w:t>
      </w:r>
    </w:p>
    <w:p w14:paraId="09A056D6" w14:textId="77777777" w:rsidR="004E536E" w:rsidRDefault="004E536E" w:rsidP="004E536E">
      <w:pPr>
        <w:jc w:val="both"/>
        <w:rPr>
          <w:rFonts w:eastAsia="Times New Roman" w:cs="Calibri"/>
          <w:b/>
          <w:lang w:eastAsia="bg-BG"/>
        </w:rPr>
      </w:pPr>
    </w:p>
    <w:p w14:paraId="673015B9" w14:textId="77777777" w:rsidR="00C87F57" w:rsidRDefault="00C87F57" w:rsidP="00D86A64">
      <w:pPr>
        <w:jc w:val="both"/>
        <w:rPr>
          <w:rFonts w:eastAsia="Times New Roman" w:cs="Calibri"/>
          <w:b/>
          <w:lang w:eastAsia="bg-BG"/>
        </w:rPr>
      </w:pPr>
    </w:p>
    <w:p w14:paraId="3ABE4D13" w14:textId="7BFACA14" w:rsidR="00C87F57" w:rsidRPr="00316233" w:rsidRDefault="00E50CB3" w:rsidP="002228B1">
      <w:pPr>
        <w:pStyle w:val="NoSpacing"/>
        <w:shd w:val="clear" w:color="auto" w:fill="E36C0A"/>
        <w:autoSpaceDE w:val="0"/>
        <w:autoSpaceDN w:val="0"/>
        <w:adjustRightInd w:val="0"/>
        <w:jc w:val="both"/>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pPr>
      <w:r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XIII</w:t>
      </w:r>
      <w:r w:rsidR="00C87F57"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АНАЛИЗ НА СЪОТНОШЕНИЕТО МЕЖДУ ПОСТИГНАТИТЕ ФИНАНСОВИ РЕЗУЛТАТИ, отразени във финансовия отчет за финансовата година и</w:t>
      </w:r>
      <w:r w:rsidR="006609DB"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00C87F57"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по-рано ПУБЛИКУВАНИ ПРОГНОЗИ ЗА ТЕЗИ РЕЗУЛТАТИ (съгл. т. 1</w:t>
      </w:r>
      <w:r w:rsidR="00E2171B"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1</w:t>
      </w:r>
      <w:r w:rsidR="00C87F57"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 от Приложение № </w:t>
      </w:r>
      <w:r w:rsidR="000D55FF">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2</w:t>
      </w:r>
      <w:r w:rsidR="00C87F57"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w:t>
      </w:r>
    </w:p>
    <w:p w14:paraId="319F96D6" w14:textId="7E4D49C6" w:rsidR="00C87F57" w:rsidRDefault="00C87F57" w:rsidP="00C87F57">
      <w:pPr>
        <w:jc w:val="both"/>
        <w:rPr>
          <w:rFonts w:eastAsia="Times New Roman" w:cs="Calibri"/>
          <w:b/>
          <w:lang w:eastAsia="bg-BG"/>
        </w:rPr>
      </w:pPr>
    </w:p>
    <w:tbl>
      <w:tblPr>
        <w:tblW w:w="9639" w:type="dxa"/>
        <w:tblLook w:val="04A0" w:firstRow="1" w:lastRow="0" w:firstColumn="1" w:lastColumn="0" w:noHBand="0" w:noVBand="1"/>
      </w:tblPr>
      <w:tblGrid>
        <w:gridCol w:w="405"/>
        <w:gridCol w:w="2911"/>
        <w:gridCol w:w="1624"/>
        <w:gridCol w:w="1826"/>
        <w:gridCol w:w="1314"/>
        <w:gridCol w:w="1559"/>
      </w:tblGrid>
      <w:tr w:rsidR="00ED2729" w:rsidRPr="00ED2729" w14:paraId="66ECD569" w14:textId="77777777" w:rsidTr="00A6252B">
        <w:trPr>
          <w:trHeight w:val="225"/>
        </w:trPr>
        <w:tc>
          <w:tcPr>
            <w:tcW w:w="9639" w:type="dxa"/>
            <w:gridSpan w:val="6"/>
            <w:tcBorders>
              <w:top w:val="nil"/>
              <w:left w:val="nil"/>
              <w:bottom w:val="nil"/>
              <w:right w:val="nil"/>
            </w:tcBorders>
            <w:shd w:val="clear" w:color="auto" w:fill="auto"/>
            <w:noWrap/>
            <w:vAlign w:val="bottom"/>
            <w:hideMark/>
          </w:tcPr>
          <w:p w14:paraId="6EBD1573" w14:textId="77777777" w:rsidR="00ED2729" w:rsidRPr="00ED2729" w:rsidRDefault="00ED2729" w:rsidP="00ED2729">
            <w:pPr>
              <w:jc w:val="right"/>
              <w:rPr>
                <w:rFonts w:eastAsia="Times New Roman" w:cs="Calibri"/>
                <w:b/>
                <w:bCs/>
                <w:i/>
                <w:iCs/>
                <w:sz w:val="20"/>
                <w:szCs w:val="20"/>
                <w:lang w:val="en-US"/>
              </w:rPr>
            </w:pPr>
            <w:r w:rsidRPr="00ED2729">
              <w:rPr>
                <w:rFonts w:eastAsia="Times New Roman" w:cs="Calibri"/>
                <w:b/>
                <w:bCs/>
                <w:i/>
                <w:iCs/>
                <w:sz w:val="20"/>
                <w:szCs w:val="20"/>
                <w:lang w:val="en-US"/>
              </w:rPr>
              <w:t>(хил.лв.)</w:t>
            </w:r>
          </w:p>
        </w:tc>
      </w:tr>
      <w:tr w:rsidR="00ED2729" w:rsidRPr="00ED2729" w14:paraId="008442FA" w14:textId="77777777" w:rsidTr="00A6252B">
        <w:trPr>
          <w:trHeight w:val="244"/>
        </w:trPr>
        <w:tc>
          <w:tcPr>
            <w:tcW w:w="405" w:type="dxa"/>
            <w:vMerge w:val="restart"/>
            <w:tcBorders>
              <w:top w:val="double" w:sz="6" w:space="0" w:color="E26B0A"/>
              <w:left w:val="double" w:sz="6" w:space="0" w:color="E26B0A"/>
              <w:bottom w:val="double" w:sz="6" w:space="0" w:color="E26B0A"/>
              <w:right w:val="double" w:sz="6" w:space="0" w:color="E26B0A"/>
            </w:tcBorders>
            <w:shd w:val="clear" w:color="000000" w:fill="E26B0A"/>
            <w:noWrap/>
            <w:vAlign w:val="center"/>
            <w:hideMark/>
          </w:tcPr>
          <w:p w14:paraId="26C40812" w14:textId="77777777" w:rsidR="00ED2729" w:rsidRPr="00ED2729" w:rsidRDefault="00ED2729" w:rsidP="00ED2729">
            <w:pPr>
              <w:jc w:val="center"/>
              <w:rPr>
                <w:rFonts w:eastAsia="Times New Roman" w:cs="Calibri"/>
                <w:b/>
                <w:bCs/>
                <w:color w:val="FFFFFF"/>
                <w:sz w:val="20"/>
                <w:szCs w:val="20"/>
                <w:lang w:val="en-US"/>
              </w:rPr>
            </w:pPr>
            <w:r w:rsidRPr="00ED2729">
              <w:rPr>
                <w:rFonts w:eastAsia="Times New Roman" w:cs="Calibri"/>
                <w:b/>
                <w:bCs/>
                <w:color w:val="FFFFFF"/>
                <w:sz w:val="20"/>
                <w:szCs w:val="20"/>
                <w:lang w:val="en-US"/>
              </w:rPr>
              <w:t>N:</w:t>
            </w:r>
          </w:p>
        </w:tc>
        <w:tc>
          <w:tcPr>
            <w:tcW w:w="2911" w:type="dxa"/>
            <w:vMerge w:val="restart"/>
            <w:tcBorders>
              <w:top w:val="double" w:sz="6" w:space="0" w:color="E26B0A"/>
              <w:left w:val="double" w:sz="6" w:space="0" w:color="E26B0A"/>
              <w:bottom w:val="double" w:sz="6" w:space="0" w:color="E26B0A"/>
              <w:right w:val="double" w:sz="6" w:space="0" w:color="E26B0A"/>
            </w:tcBorders>
            <w:shd w:val="clear" w:color="000000" w:fill="E26B0A"/>
            <w:noWrap/>
            <w:vAlign w:val="center"/>
            <w:hideMark/>
          </w:tcPr>
          <w:p w14:paraId="497655BB" w14:textId="77777777" w:rsidR="00ED2729" w:rsidRPr="00ED2729" w:rsidRDefault="00ED2729" w:rsidP="00ED2729">
            <w:pPr>
              <w:jc w:val="center"/>
              <w:rPr>
                <w:rFonts w:eastAsia="Times New Roman" w:cs="Calibri"/>
                <w:b/>
                <w:bCs/>
                <w:color w:val="FFFFFF"/>
                <w:sz w:val="20"/>
                <w:szCs w:val="20"/>
                <w:lang w:val="en-US"/>
              </w:rPr>
            </w:pPr>
            <w:r w:rsidRPr="00ED2729">
              <w:rPr>
                <w:rFonts w:eastAsia="Times New Roman" w:cs="Calibri"/>
                <w:b/>
                <w:bCs/>
                <w:color w:val="FFFFFF"/>
                <w:sz w:val="20"/>
                <w:szCs w:val="20"/>
                <w:lang w:val="en-US"/>
              </w:rPr>
              <w:t>Показатели:</w:t>
            </w:r>
          </w:p>
        </w:tc>
        <w:tc>
          <w:tcPr>
            <w:tcW w:w="1624" w:type="dxa"/>
            <w:vMerge w:val="restart"/>
            <w:tcBorders>
              <w:top w:val="double" w:sz="6" w:space="0" w:color="E26B0A"/>
              <w:left w:val="double" w:sz="6" w:space="0" w:color="E26B0A"/>
              <w:bottom w:val="double" w:sz="6" w:space="0" w:color="E26B0A"/>
              <w:right w:val="double" w:sz="6" w:space="0" w:color="E26B0A"/>
            </w:tcBorders>
            <w:shd w:val="clear" w:color="000000" w:fill="E26B0A"/>
            <w:vAlign w:val="center"/>
            <w:hideMark/>
          </w:tcPr>
          <w:p w14:paraId="5BC3D3CE" w14:textId="77777777" w:rsidR="00ED2729" w:rsidRPr="00ED2729" w:rsidRDefault="00ED2729" w:rsidP="00ED2729">
            <w:pPr>
              <w:jc w:val="center"/>
              <w:rPr>
                <w:rFonts w:eastAsia="Times New Roman" w:cs="Calibri"/>
                <w:b/>
                <w:bCs/>
                <w:color w:val="FFFFFF"/>
                <w:sz w:val="20"/>
                <w:szCs w:val="20"/>
                <w:lang w:val="en-US"/>
              </w:rPr>
            </w:pPr>
            <w:r w:rsidRPr="00ED2729">
              <w:rPr>
                <w:rFonts w:eastAsia="Times New Roman" w:cs="Calibri"/>
                <w:b/>
                <w:bCs/>
                <w:color w:val="FFFFFF"/>
                <w:sz w:val="20"/>
                <w:szCs w:val="20"/>
                <w:lang w:val="en-US"/>
              </w:rPr>
              <w:t>2021</w:t>
            </w:r>
          </w:p>
        </w:tc>
        <w:tc>
          <w:tcPr>
            <w:tcW w:w="1826" w:type="dxa"/>
            <w:vMerge w:val="restart"/>
            <w:tcBorders>
              <w:top w:val="double" w:sz="6" w:space="0" w:color="E26B0A"/>
              <w:left w:val="double" w:sz="6" w:space="0" w:color="E26B0A"/>
              <w:bottom w:val="double" w:sz="6" w:space="0" w:color="E26B0A"/>
              <w:right w:val="double" w:sz="6" w:space="0" w:color="E26B0A"/>
            </w:tcBorders>
            <w:shd w:val="clear" w:color="000000" w:fill="E26B0A"/>
            <w:vAlign w:val="center"/>
            <w:hideMark/>
          </w:tcPr>
          <w:p w14:paraId="02A15CC2" w14:textId="77777777" w:rsidR="00ED2729" w:rsidRPr="00ED2729" w:rsidRDefault="00ED2729" w:rsidP="00ED2729">
            <w:pPr>
              <w:jc w:val="center"/>
              <w:rPr>
                <w:rFonts w:eastAsia="Times New Roman" w:cs="Calibri"/>
                <w:b/>
                <w:bCs/>
                <w:color w:val="FFFFFF"/>
                <w:sz w:val="20"/>
                <w:szCs w:val="20"/>
                <w:lang w:val="en-US"/>
              </w:rPr>
            </w:pPr>
            <w:r w:rsidRPr="00ED2729">
              <w:rPr>
                <w:rFonts w:eastAsia="Times New Roman" w:cs="Calibri"/>
                <w:b/>
                <w:bCs/>
                <w:color w:val="FFFFFF"/>
                <w:sz w:val="20"/>
                <w:szCs w:val="20"/>
                <w:lang w:val="en-US"/>
              </w:rPr>
              <w:t>Прогнози</w:t>
            </w:r>
          </w:p>
        </w:tc>
        <w:tc>
          <w:tcPr>
            <w:tcW w:w="2873" w:type="dxa"/>
            <w:gridSpan w:val="2"/>
            <w:vMerge w:val="restart"/>
            <w:tcBorders>
              <w:top w:val="double" w:sz="6" w:space="0" w:color="E26B0A"/>
              <w:left w:val="double" w:sz="6" w:space="0" w:color="E26B0A"/>
              <w:bottom w:val="double" w:sz="6" w:space="0" w:color="E26B0A"/>
              <w:right w:val="double" w:sz="6" w:space="0" w:color="E26B0A"/>
            </w:tcBorders>
            <w:shd w:val="clear" w:color="000000" w:fill="E26B0A"/>
            <w:vAlign w:val="center"/>
            <w:hideMark/>
          </w:tcPr>
          <w:p w14:paraId="03702691" w14:textId="77777777" w:rsidR="00ED2729" w:rsidRPr="00ED2729" w:rsidRDefault="00ED2729" w:rsidP="00ED2729">
            <w:pPr>
              <w:jc w:val="center"/>
              <w:rPr>
                <w:rFonts w:eastAsia="Times New Roman" w:cs="Calibri"/>
                <w:b/>
                <w:bCs/>
                <w:color w:val="FFFFFF"/>
                <w:sz w:val="20"/>
                <w:szCs w:val="20"/>
                <w:lang w:val="en-US"/>
              </w:rPr>
            </w:pPr>
            <w:r w:rsidRPr="00ED2729">
              <w:rPr>
                <w:rFonts w:eastAsia="Times New Roman" w:cs="Calibri"/>
                <w:b/>
                <w:bCs/>
                <w:color w:val="FFFFFF"/>
                <w:sz w:val="20"/>
                <w:szCs w:val="20"/>
                <w:lang w:val="en-US"/>
              </w:rPr>
              <w:t>Съотношение</w:t>
            </w:r>
          </w:p>
        </w:tc>
      </w:tr>
      <w:tr w:rsidR="00A6252B" w:rsidRPr="00ED2729" w14:paraId="390E099D" w14:textId="77777777" w:rsidTr="00A6252B">
        <w:trPr>
          <w:trHeight w:val="244"/>
        </w:trPr>
        <w:tc>
          <w:tcPr>
            <w:tcW w:w="405" w:type="dxa"/>
            <w:vMerge/>
            <w:tcBorders>
              <w:top w:val="double" w:sz="6" w:space="0" w:color="E26B0A"/>
              <w:left w:val="double" w:sz="6" w:space="0" w:color="E26B0A"/>
              <w:bottom w:val="double" w:sz="6" w:space="0" w:color="E26B0A"/>
              <w:right w:val="double" w:sz="6" w:space="0" w:color="E26B0A"/>
            </w:tcBorders>
            <w:vAlign w:val="center"/>
            <w:hideMark/>
          </w:tcPr>
          <w:p w14:paraId="6D0A2110" w14:textId="77777777" w:rsidR="00A6252B" w:rsidRPr="00ED2729" w:rsidRDefault="00A6252B" w:rsidP="00ED2729">
            <w:pPr>
              <w:rPr>
                <w:rFonts w:eastAsia="Times New Roman" w:cs="Calibri"/>
                <w:b/>
                <w:bCs/>
                <w:color w:val="FFFFFF"/>
                <w:sz w:val="20"/>
                <w:szCs w:val="20"/>
                <w:lang w:val="en-US"/>
              </w:rPr>
            </w:pPr>
          </w:p>
        </w:tc>
        <w:tc>
          <w:tcPr>
            <w:tcW w:w="2911" w:type="dxa"/>
            <w:vMerge/>
            <w:tcBorders>
              <w:top w:val="double" w:sz="6" w:space="0" w:color="E26B0A"/>
              <w:left w:val="double" w:sz="6" w:space="0" w:color="E26B0A"/>
              <w:bottom w:val="double" w:sz="6" w:space="0" w:color="E26B0A"/>
              <w:right w:val="double" w:sz="6" w:space="0" w:color="E26B0A"/>
            </w:tcBorders>
            <w:vAlign w:val="center"/>
            <w:hideMark/>
          </w:tcPr>
          <w:p w14:paraId="38A352DC" w14:textId="77777777" w:rsidR="00A6252B" w:rsidRPr="00ED2729" w:rsidRDefault="00A6252B" w:rsidP="00ED2729">
            <w:pPr>
              <w:rPr>
                <w:rFonts w:eastAsia="Times New Roman" w:cs="Calibri"/>
                <w:b/>
                <w:bCs/>
                <w:color w:val="FFFFFF"/>
                <w:sz w:val="20"/>
                <w:szCs w:val="20"/>
                <w:lang w:val="en-US"/>
              </w:rPr>
            </w:pPr>
          </w:p>
        </w:tc>
        <w:tc>
          <w:tcPr>
            <w:tcW w:w="1624" w:type="dxa"/>
            <w:vMerge/>
            <w:tcBorders>
              <w:top w:val="double" w:sz="6" w:space="0" w:color="E26B0A"/>
              <w:left w:val="double" w:sz="6" w:space="0" w:color="E26B0A"/>
              <w:bottom w:val="double" w:sz="6" w:space="0" w:color="E26B0A"/>
              <w:right w:val="double" w:sz="6" w:space="0" w:color="E26B0A"/>
            </w:tcBorders>
            <w:vAlign w:val="center"/>
            <w:hideMark/>
          </w:tcPr>
          <w:p w14:paraId="6CAE9D8F" w14:textId="77777777" w:rsidR="00A6252B" w:rsidRPr="00ED2729" w:rsidRDefault="00A6252B" w:rsidP="00ED2729">
            <w:pPr>
              <w:rPr>
                <w:rFonts w:eastAsia="Times New Roman" w:cs="Calibri"/>
                <w:b/>
                <w:bCs/>
                <w:color w:val="FFFFFF"/>
                <w:sz w:val="20"/>
                <w:szCs w:val="20"/>
                <w:lang w:val="en-US"/>
              </w:rPr>
            </w:pPr>
          </w:p>
        </w:tc>
        <w:tc>
          <w:tcPr>
            <w:tcW w:w="1826" w:type="dxa"/>
            <w:vMerge/>
            <w:tcBorders>
              <w:top w:val="double" w:sz="6" w:space="0" w:color="E26B0A"/>
              <w:left w:val="double" w:sz="6" w:space="0" w:color="E26B0A"/>
              <w:bottom w:val="double" w:sz="6" w:space="0" w:color="E26B0A"/>
              <w:right w:val="double" w:sz="6" w:space="0" w:color="E26B0A"/>
            </w:tcBorders>
            <w:vAlign w:val="center"/>
            <w:hideMark/>
          </w:tcPr>
          <w:p w14:paraId="01DF5669" w14:textId="77777777" w:rsidR="00A6252B" w:rsidRPr="00ED2729" w:rsidRDefault="00A6252B" w:rsidP="00ED2729">
            <w:pPr>
              <w:rPr>
                <w:rFonts w:eastAsia="Times New Roman" w:cs="Calibri"/>
                <w:b/>
                <w:bCs/>
                <w:color w:val="FFFFFF"/>
                <w:sz w:val="20"/>
                <w:szCs w:val="20"/>
                <w:lang w:val="en-US"/>
              </w:rPr>
            </w:pPr>
          </w:p>
        </w:tc>
        <w:tc>
          <w:tcPr>
            <w:tcW w:w="2873" w:type="dxa"/>
            <w:gridSpan w:val="2"/>
            <w:vMerge/>
            <w:tcBorders>
              <w:top w:val="double" w:sz="6" w:space="0" w:color="E26B0A"/>
              <w:left w:val="double" w:sz="6" w:space="0" w:color="E26B0A"/>
              <w:bottom w:val="double" w:sz="6" w:space="0" w:color="E26B0A"/>
              <w:right w:val="double" w:sz="6" w:space="0" w:color="E26B0A"/>
            </w:tcBorders>
            <w:vAlign w:val="center"/>
            <w:hideMark/>
          </w:tcPr>
          <w:p w14:paraId="7002BD81" w14:textId="77777777" w:rsidR="00A6252B" w:rsidRPr="00ED2729" w:rsidRDefault="00A6252B" w:rsidP="00ED2729">
            <w:pPr>
              <w:rPr>
                <w:rFonts w:eastAsia="Times New Roman" w:cs="Calibri"/>
                <w:b/>
                <w:bCs/>
                <w:color w:val="FFFFFF"/>
                <w:sz w:val="20"/>
                <w:szCs w:val="20"/>
                <w:lang w:val="en-US"/>
              </w:rPr>
            </w:pPr>
          </w:p>
        </w:tc>
      </w:tr>
      <w:tr w:rsidR="00A6252B" w:rsidRPr="00ED2729" w14:paraId="5E3C9D16" w14:textId="77777777" w:rsidTr="00A6252B">
        <w:trPr>
          <w:trHeight w:val="270"/>
        </w:trPr>
        <w:tc>
          <w:tcPr>
            <w:tcW w:w="405" w:type="dxa"/>
            <w:vMerge/>
            <w:tcBorders>
              <w:top w:val="double" w:sz="6" w:space="0" w:color="E26B0A"/>
              <w:left w:val="double" w:sz="6" w:space="0" w:color="E26B0A"/>
              <w:bottom w:val="double" w:sz="6" w:space="0" w:color="E26B0A"/>
              <w:right w:val="double" w:sz="6" w:space="0" w:color="E26B0A"/>
            </w:tcBorders>
            <w:vAlign w:val="center"/>
            <w:hideMark/>
          </w:tcPr>
          <w:p w14:paraId="6A939ADC" w14:textId="77777777" w:rsidR="00A6252B" w:rsidRPr="00ED2729" w:rsidRDefault="00A6252B" w:rsidP="00ED2729">
            <w:pPr>
              <w:rPr>
                <w:rFonts w:eastAsia="Times New Roman" w:cs="Calibri"/>
                <w:b/>
                <w:bCs/>
                <w:color w:val="FFFFFF"/>
                <w:sz w:val="20"/>
                <w:szCs w:val="20"/>
                <w:lang w:val="en-US"/>
              </w:rPr>
            </w:pPr>
          </w:p>
        </w:tc>
        <w:tc>
          <w:tcPr>
            <w:tcW w:w="2911" w:type="dxa"/>
            <w:vMerge/>
            <w:tcBorders>
              <w:top w:val="double" w:sz="6" w:space="0" w:color="E26B0A"/>
              <w:left w:val="double" w:sz="6" w:space="0" w:color="E26B0A"/>
              <w:bottom w:val="double" w:sz="6" w:space="0" w:color="E26B0A"/>
              <w:right w:val="double" w:sz="6" w:space="0" w:color="E26B0A"/>
            </w:tcBorders>
            <w:vAlign w:val="center"/>
            <w:hideMark/>
          </w:tcPr>
          <w:p w14:paraId="3BA8C70F" w14:textId="77777777" w:rsidR="00A6252B" w:rsidRPr="00ED2729" w:rsidRDefault="00A6252B" w:rsidP="00ED2729">
            <w:pPr>
              <w:rPr>
                <w:rFonts w:eastAsia="Times New Roman" w:cs="Calibri"/>
                <w:b/>
                <w:bCs/>
                <w:color w:val="FFFFFF"/>
                <w:sz w:val="20"/>
                <w:szCs w:val="20"/>
                <w:lang w:val="en-US"/>
              </w:rPr>
            </w:pPr>
          </w:p>
        </w:tc>
        <w:tc>
          <w:tcPr>
            <w:tcW w:w="1624" w:type="dxa"/>
            <w:tcBorders>
              <w:top w:val="nil"/>
              <w:left w:val="nil"/>
              <w:bottom w:val="double" w:sz="6" w:space="0" w:color="E26B0A"/>
              <w:right w:val="double" w:sz="6" w:space="0" w:color="E26B0A"/>
            </w:tcBorders>
            <w:shd w:val="clear" w:color="000000" w:fill="E26B0A"/>
            <w:vAlign w:val="center"/>
            <w:hideMark/>
          </w:tcPr>
          <w:p w14:paraId="54E95BD2" w14:textId="77777777" w:rsidR="00A6252B" w:rsidRPr="00ED2729" w:rsidRDefault="00A6252B" w:rsidP="00ED2729">
            <w:pPr>
              <w:jc w:val="center"/>
              <w:rPr>
                <w:rFonts w:eastAsia="Times New Roman" w:cs="Calibri"/>
                <w:b/>
                <w:bCs/>
                <w:color w:val="FFFFFF"/>
                <w:sz w:val="20"/>
                <w:szCs w:val="20"/>
                <w:lang w:val="en-US"/>
              </w:rPr>
            </w:pPr>
            <w:r w:rsidRPr="00ED2729">
              <w:rPr>
                <w:rFonts w:eastAsia="Times New Roman" w:cs="Calibri"/>
                <w:b/>
                <w:bCs/>
                <w:color w:val="FFFFFF"/>
                <w:sz w:val="20"/>
                <w:szCs w:val="20"/>
                <w:lang w:val="en-US"/>
              </w:rPr>
              <w:t xml:space="preserve"> година</w:t>
            </w:r>
          </w:p>
        </w:tc>
        <w:tc>
          <w:tcPr>
            <w:tcW w:w="1826" w:type="dxa"/>
            <w:vMerge/>
            <w:tcBorders>
              <w:top w:val="double" w:sz="6" w:space="0" w:color="E26B0A"/>
              <w:left w:val="double" w:sz="6" w:space="0" w:color="E26B0A"/>
              <w:bottom w:val="double" w:sz="6" w:space="0" w:color="E26B0A"/>
              <w:right w:val="double" w:sz="6" w:space="0" w:color="E26B0A"/>
            </w:tcBorders>
            <w:vAlign w:val="center"/>
            <w:hideMark/>
          </w:tcPr>
          <w:p w14:paraId="17746B2C" w14:textId="77777777" w:rsidR="00A6252B" w:rsidRPr="00ED2729" w:rsidRDefault="00A6252B" w:rsidP="00ED2729">
            <w:pPr>
              <w:rPr>
                <w:rFonts w:eastAsia="Times New Roman" w:cs="Calibri"/>
                <w:b/>
                <w:bCs/>
                <w:color w:val="FFFFFF"/>
                <w:sz w:val="20"/>
                <w:szCs w:val="20"/>
                <w:lang w:val="en-US"/>
              </w:rPr>
            </w:pPr>
          </w:p>
        </w:tc>
        <w:tc>
          <w:tcPr>
            <w:tcW w:w="1314" w:type="dxa"/>
            <w:tcBorders>
              <w:top w:val="nil"/>
              <w:left w:val="nil"/>
              <w:bottom w:val="double" w:sz="6" w:space="0" w:color="E26B0A"/>
              <w:right w:val="double" w:sz="6" w:space="0" w:color="E26B0A"/>
            </w:tcBorders>
            <w:shd w:val="clear" w:color="000000" w:fill="E26B0A"/>
            <w:vAlign w:val="center"/>
            <w:hideMark/>
          </w:tcPr>
          <w:p w14:paraId="68402F54" w14:textId="77777777" w:rsidR="00A6252B" w:rsidRPr="00ED2729" w:rsidRDefault="00A6252B" w:rsidP="00ED2729">
            <w:pPr>
              <w:jc w:val="center"/>
              <w:rPr>
                <w:rFonts w:eastAsia="Times New Roman" w:cs="Calibri"/>
                <w:b/>
                <w:bCs/>
                <w:color w:val="FFFFFF"/>
                <w:sz w:val="20"/>
                <w:szCs w:val="20"/>
                <w:lang w:val="en-US"/>
              </w:rPr>
            </w:pPr>
            <w:r w:rsidRPr="00ED2729">
              <w:rPr>
                <w:rFonts w:eastAsia="Times New Roman" w:cs="Calibri"/>
                <w:b/>
                <w:bCs/>
                <w:color w:val="FFFFFF"/>
                <w:sz w:val="20"/>
                <w:szCs w:val="20"/>
                <w:lang w:val="en-US"/>
              </w:rPr>
              <w:t>стойност</w:t>
            </w:r>
          </w:p>
        </w:tc>
        <w:tc>
          <w:tcPr>
            <w:tcW w:w="1559" w:type="dxa"/>
            <w:tcBorders>
              <w:top w:val="nil"/>
              <w:left w:val="nil"/>
              <w:bottom w:val="double" w:sz="6" w:space="0" w:color="E26B0A"/>
              <w:right w:val="double" w:sz="6" w:space="0" w:color="E26B0A"/>
            </w:tcBorders>
            <w:shd w:val="clear" w:color="000000" w:fill="E26B0A"/>
            <w:vAlign w:val="center"/>
            <w:hideMark/>
          </w:tcPr>
          <w:p w14:paraId="01649A23" w14:textId="77777777" w:rsidR="00A6252B" w:rsidRPr="00ED2729" w:rsidRDefault="00A6252B" w:rsidP="00ED2729">
            <w:pPr>
              <w:jc w:val="center"/>
              <w:rPr>
                <w:rFonts w:eastAsia="Times New Roman" w:cs="Calibri"/>
                <w:b/>
                <w:bCs/>
                <w:color w:val="FFFFFF"/>
                <w:sz w:val="20"/>
                <w:szCs w:val="20"/>
                <w:lang w:val="en-US"/>
              </w:rPr>
            </w:pPr>
            <w:r w:rsidRPr="00ED2729">
              <w:rPr>
                <w:rFonts w:eastAsia="Times New Roman" w:cs="Calibri"/>
                <w:b/>
                <w:bCs/>
                <w:color w:val="FFFFFF"/>
                <w:sz w:val="20"/>
                <w:szCs w:val="20"/>
                <w:lang w:val="en-US"/>
              </w:rPr>
              <w:t>процент</w:t>
            </w:r>
          </w:p>
        </w:tc>
      </w:tr>
      <w:tr w:rsidR="00A6252B" w:rsidRPr="00ED2729" w14:paraId="73EA0DA5" w14:textId="77777777" w:rsidTr="00A6252B">
        <w:trPr>
          <w:trHeight w:val="300"/>
        </w:trPr>
        <w:tc>
          <w:tcPr>
            <w:tcW w:w="405" w:type="dxa"/>
            <w:tcBorders>
              <w:top w:val="nil"/>
              <w:left w:val="double" w:sz="6" w:space="0" w:color="E26B0A"/>
              <w:bottom w:val="double" w:sz="6" w:space="0" w:color="E26B0A"/>
              <w:right w:val="double" w:sz="6" w:space="0" w:color="E26B0A"/>
            </w:tcBorders>
            <w:shd w:val="clear" w:color="auto" w:fill="auto"/>
            <w:noWrap/>
            <w:vAlign w:val="bottom"/>
            <w:hideMark/>
          </w:tcPr>
          <w:p w14:paraId="56632D85" w14:textId="77777777" w:rsidR="00A6252B" w:rsidRPr="00ED2729" w:rsidRDefault="00A6252B" w:rsidP="00ED2729">
            <w:pPr>
              <w:jc w:val="center"/>
              <w:rPr>
                <w:rFonts w:eastAsia="Times New Roman" w:cs="Calibri"/>
                <w:sz w:val="20"/>
                <w:szCs w:val="20"/>
                <w:lang w:val="en-US"/>
              </w:rPr>
            </w:pPr>
            <w:r w:rsidRPr="00ED2729">
              <w:rPr>
                <w:rFonts w:eastAsia="Times New Roman" w:cs="Calibri"/>
                <w:sz w:val="20"/>
                <w:szCs w:val="20"/>
                <w:lang w:val="en-US"/>
              </w:rPr>
              <w:t>1</w:t>
            </w:r>
          </w:p>
        </w:tc>
        <w:tc>
          <w:tcPr>
            <w:tcW w:w="2911" w:type="dxa"/>
            <w:tcBorders>
              <w:top w:val="nil"/>
              <w:left w:val="nil"/>
              <w:bottom w:val="double" w:sz="6" w:space="0" w:color="E26B0A"/>
              <w:right w:val="double" w:sz="6" w:space="0" w:color="E26B0A"/>
            </w:tcBorders>
            <w:shd w:val="clear" w:color="auto" w:fill="auto"/>
            <w:noWrap/>
            <w:vAlign w:val="bottom"/>
            <w:hideMark/>
          </w:tcPr>
          <w:p w14:paraId="35D62547" w14:textId="77777777" w:rsidR="00A6252B" w:rsidRPr="00ED2729" w:rsidRDefault="00A6252B" w:rsidP="00ED2729">
            <w:pPr>
              <w:rPr>
                <w:rFonts w:eastAsia="Times New Roman" w:cs="Calibri"/>
                <w:sz w:val="20"/>
                <w:szCs w:val="20"/>
                <w:lang w:val="en-US"/>
              </w:rPr>
            </w:pPr>
            <w:r w:rsidRPr="00ED2729">
              <w:rPr>
                <w:rFonts w:eastAsia="Times New Roman" w:cs="Calibri"/>
                <w:sz w:val="20"/>
                <w:szCs w:val="20"/>
                <w:lang w:val="en-US"/>
              </w:rPr>
              <w:t>Общо приходи</w:t>
            </w:r>
          </w:p>
        </w:tc>
        <w:tc>
          <w:tcPr>
            <w:tcW w:w="1624" w:type="dxa"/>
            <w:tcBorders>
              <w:top w:val="nil"/>
              <w:left w:val="nil"/>
              <w:bottom w:val="double" w:sz="6" w:space="0" w:color="E26B0A"/>
              <w:right w:val="double" w:sz="6" w:space="0" w:color="E26B0A"/>
            </w:tcBorders>
            <w:shd w:val="clear" w:color="000000" w:fill="FDE9D9"/>
            <w:noWrap/>
            <w:vAlign w:val="bottom"/>
            <w:hideMark/>
          </w:tcPr>
          <w:p w14:paraId="7360E616" w14:textId="77777777" w:rsidR="00A6252B" w:rsidRPr="00ED2729" w:rsidRDefault="00A6252B" w:rsidP="00ED2729">
            <w:pPr>
              <w:jc w:val="right"/>
              <w:rPr>
                <w:rFonts w:eastAsia="Times New Roman" w:cs="Calibri"/>
                <w:sz w:val="20"/>
                <w:szCs w:val="20"/>
                <w:lang w:val="en-US"/>
              </w:rPr>
            </w:pPr>
            <w:r w:rsidRPr="00ED2729">
              <w:rPr>
                <w:rFonts w:eastAsia="Times New Roman" w:cs="Calibri"/>
                <w:sz w:val="20"/>
                <w:szCs w:val="20"/>
                <w:lang w:val="en-US"/>
              </w:rPr>
              <w:t>2292</w:t>
            </w:r>
          </w:p>
        </w:tc>
        <w:tc>
          <w:tcPr>
            <w:tcW w:w="1826" w:type="dxa"/>
            <w:tcBorders>
              <w:top w:val="nil"/>
              <w:left w:val="nil"/>
              <w:bottom w:val="double" w:sz="6" w:space="0" w:color="E26B0A"/>
              <w:right w:val="double" w:sz="6" w:space="0" w:color="E26B0A"/>
            </w:tcBorders>
            <w:shd w:val="clear" w:color="000000" w:fill="FDE9D9"/>
            <w:noWrap/>
            <w:vAlign w:val="bottom"/>
            <w:hideMark/>
          </w:tcPr>
          <w:p w14:paraId="6767DD44" w14:textId="77777777" w:rsidR="00A6252B" w:rsidRPr="00ED2729" w:rsidRDefault="00A6252B" w:rsidP="00ED2729">
            <w:pPr>
              <w:jc w:val="right"/>
              <w:rPr>
                <w:rFonts w:eastAsia="Times New Roman" w:cs="Calibri"/>
                <w:sz w:val="20"/>
                <w:szCs w:val="20"/>
                <w:lang w:val="en-US"/>
              </w:rPr>
            </w:pPr>
            <w:r w:rsidRPr="00ED2729">
              <w:rPr>
                <w:rFonts w:eastAsia="Times New Roman" w:cs="Calibri"/>
                <w:sz w:val="20"/>
                <w:szCs w:val="20"/>
                <w:lang w:val="en-US"/>
              </w:rPr>
              <w:t>1396</w:t>
            </w:r>
          </w:p>
        </w:tc>
        <w:tc>
          <w:tcPr>
            <w:tcW w:w="1314" w:type="dxa"/>
            <w:tcBorders>
              <w:top w:val="nil"/>
              <w:left w:val="nil"/>
              <w:bottom w:val="double" w:sz="6" w:space="0" w:color="E26B0A"/>
              <w:right w:val="double" w:sz="6" w:space="0" w:color="E26B0A"/>
            </w:tcBorders>
            <w:shd w:val="clear" w:color="000000" w:fill="FABF8F"/>
            <w:noWrap/>
            <w:vAlign w:val="bottom"/>
            <w:hideMark/>
          </w:tcPr>
          <w:p w14:paraId="16A05C89" w14:textId="77777777" w:rsidR="00A6252B" w:rsidRPr="00ED2729" w:rsidRDefault="00A6252B" w:rsidP="00ED2729">
            <w:pPr>
              <w:jc w:val="right"/>
              <w:rPr>
                <w:rFonts w:eastAsia="Times New Roman" w:cs="Calibri"/>
                <w:sz w:val="20"/>
                <w:szCs w:val="20"/>
                <w:lang w:val="en-US"/>
              </w:rPr>
            </w:pPr>
            <w:r w:rsidRPr="00ED2729">
              <w:rPr>
                <w:rFonts w:eastAsia="Times New Roman" w:cs="Calibri"/>
                <w:sz w:val="20"/>
                <w:szCs w:val="20"/>
                <w:lang w:val="en-US"/>
              </w:rPr>
              <w:t>896</w:t>
            </w:r>
          </w:p>
        </w:tc>
        <w:tc>
          <w:tcPr>
            <w:tcW w:w="1559" w:type="dxa"/>
            <w:tcBorders>
              <w:top w:val="nil"/>
              <w:left w:val="nil"/>
              <w:bottom w:val="double" w:sz="6" w:space="0" w:color="E26B0A"/>
              <w:right w:val="double" w:sz="6" w:space="0" w:color="E26B0A"/>
            </w:tcBorders>
            <w:shd w:val="clear" w:color="000000" w:fill="FABF8F"/>
            <w:noWrap/>
            <w:vAlign w:val="bottom"/>
            <w:hideMark/>
          </w:tcPr>
          <w:p w14:paraId="210ABDA7" w14:textId="77777777" w:rsidR="00A6252B" w:rsidRPr="00ED2729" w:rsidRDefault="00A6252B" w:rsidP="00ED2729">
            <w:pPr>
              <w:jc w:val="right"/>
              <w:rPr>
                <w:rFonts w:eastAsia="Times New Roman" w:cs="Calibri"/>
                <w:sz w:val="20"/>
                <w:szCs w:val="20"/>
                <w:lang w:val="en-US"/>
              </w:rPr>
            </w:pPr>
            <w:r w:rsidRPr="00ED2729">
              <w:rPr>
                <w:rFonts w:eastAsia="Times New Roman" w:cs="Calibri"/>
                <w:sz w:val="20"/>
                <w:szCs w:val="20"/>
                <w:lang w:val="en-US"/>
              </w:rPr>
              <w:t>64,2%</w:t>
            </w:r>
          </w:p>
        </w:tc>
      </w:tr>
      <w:tr w:rsidR="00A6252B" w:rsidRPr="00ED2729" w14:paraId="280FA529" w14:textId="77777777" w:rsidTr="00A6252B">
        <w:trPr>
          <w:trHeight w:val="300"/>
        </w:trPr>
        <w:tc>
          <w:tcPr>
            <w:tcW w:w="405" w:type="dxa"/>
            <w:tcBorders>
              <w:top w:val="nil"/>
              <w:left w:val="double" w:sz="6" w:space="0" w:color="E26B0A"/>
              <w:bottom w:val="double" w:sz="6" w:space="0" w:color="E26B0A"/>
              <w:right w:val="double" w:sz="6" w:space="0" w:color="E26B0A"/>
            </w:tcBorders>
            <w:shd w:val="clear" w:color="auto" w:fill="auto"/>
            <w:noWrap/>
            <w:vAlign w:val="bottom"/>
            <w:hideMark/>
          </w:tcPr>
          <w:p w14:paraId="751A6474" w14:textId="77777777" w:rsidR="00A6252B" w:rsidRPr="00ED2729" w:rsidRDefault="00A6252B" w:rsidP="00ED2729">
            <w:pPr>
              <w:jc w:val="center"/>
              <w:rPr>
                <w:rFonts w:eastAsia="Times New Roman" w:cs="Calibri"/>
                <w:sz w:val="20"/>
                <w:szCs w:val="20"/>
                <w:lang w:val="en-US"/>
              </w:rPr>
            </w:pPr>
            <w:r w:rsidRPr="00ED2729">
              <w:rPr>
                <w:rFonts w:eastAsia="Times New Roman" w:cs="Calibri"/>
                <w:sz w:val="20"/>
                <w:szCs w:val="20"/>
                <w:lang w:val="en-US"/>
              </w:rPr>
              <w:lastRenderedPageBreak/>
              <w:t>6</w:t>
            </w:r>
          </w:p>
        </w:tc>
        <w:tc>
          <w:tcPr>
            <w:tcW w:w="2911" w:type="dxa"/>
            <w:tcBorders>
              <w:top w:val="nil"/>
              <w:left w:val="nil"/>
              <w:bottom w:val="double" w:sz="6" w:space="0" w:color="E26B0A"/>
              <w:right w:val="double" w:sz="6" w:space="0" w:color="E26B0A"/>
            </w:tcBorders>
            <w:shd w:val="clear" w:color="auto" w:fill="auto"/>
            <w:noWrap/>
            <w:vAlign w:val="bottom"/>
            <w:hideMark/>
          </w:tcPr>
          <w:p w14:paraId="108CBD8A" w14:textId="77777777" w:rsidR="00A6252B" w:rsidRPr="00ED2729" w:rsidRDefault="00A6252B" w:rsidP="00ED2729">
            <w:pPr>
              <w:rPr>
                <w:rFonts w:eastAsia="Times New Roman" w:cs="Calibri"/>
                <w:sz w:val="20"/>
                <w:szCs w:val="20"/>
                <w:lang w:val="en-US"/>
              </w:rPr>
            </w:pPr>
            <w:r w:rsidRPr="00ED2729">
              <w:rPr>
                <w:rFonts w:eastAsia="Times New Roman" w:cs="Calibri"/>
                <w:sz w:val="20"/>
                <w:szCs w:val="20"/>
                <w:lang w:val="en-US"/>
              </w:rPr>
              <w:t>Общо разходи</w:t>
            </w:r>
          </w:p>
        </w:tc>
        <w:tc>
          <w:tcPr>
            <w:tcW w:w="1624" w:type="dxa"/>
            <w:tcBorders>
              <w:top w:val="nil"/>
              <w:left w:val="nil"/>
              <w:bottom w:val="double" w:sz="6" w:space="0" w:color="E26B0A"/>
              <w:right w:val="double" w:sz="6" w:space="0" w:color="E26B0A"/>
            </w:tcBorders>
            <w:shd w:val="clear" w:color="000000" w:fill="FDE9D9"/>
            <w:noWrap/>
            <w:vAlign w:val="bottom"/>
            <w:hideMark/>
          </w:tcPr>
          <w:p w14:paraId="0250134E" w14:textId="77777777" w:rsidR="00A6252B" w:rsidRPr="00ED2729" w:rsidRDefault="00A6252B" w:rsidP="00ED2729">
            <w:pPr>
              <w:jc w:val="right"/>
              <w:rPr>
                <w:rFonts w:eastAsia="Times New Roman" w:cs="Calibri"/>
                <w:sz w:val="20"/>
                <w:szCs w:val="20"/>
                <w:lang w:val="en-US"/>
              </w:rPr>
            </w:pPr>
            <w:r w:rsidRPr="00ED2729">
              <w:rPr>
                <w:rFonts w:eastAsia="Times New Roman" w:cs="Calibri"/>
                <w:sz w:val="20"/>
                <w:szCs w:val="20"/>
                <w:lang w:val="en-US"/>
              </w:rPr>
              <w:t>2042</w:t>
            </w:r>
          </w:p>
        </w:tc>
        <w:tc>
          <w:tcPr>
            <w:tcW w:w="1826" w:type="dxa"/>
            <w:tcBorders>
              <w:top w:val="nil"/>
              <w:left w:val="nil"/>
              <w:bottom w:val="double" w:sz="6" w:space="0" w:color="E26B0A"/>
              <w:right w:val="double" w:sz="6" w:space="0" w:color="E26B0A"/>
            </w:tcBorders>
            <w:shd w:val="clear" w:color="000000" w:fill="FDE9D9"/>
            <w:noWrap/>
            <w:vAlign w:val="bottom"/>
            <w:hideMark/>
          </w:tcPr>
          <w:p w14:paraId="55014557" w14:textId="77777777" w:rsidR="00A6252B" w:rsidRPr="00ED2729" w:rsidRDefault="00A6252B" w:rsidP="00ED2729">
            <w:pPr>
              <w:jc w:val="right"/>
              <w:rPr>
                <w:rFonts w:eastAsia="Times New Roman" w:cs="Calibri"/>
                <w:sz w:val="20"/>
                <w:szCs w:val="20"/>
                <w:lang w:val="en-US"/>
              </w:rPr>
            </w:pPr>
            <w:r w:rsidRPr="00ED2729">
              <w:rPr>
                <w:rFonts w:eastAsia="Times New Roman" w:cs="Calibri"/>
                <w:sz w:val="20"/>
                <w:szCs w:val="20"/>
                <w:lang w:val="en-US"/>
              </w:rPr>
              <w:t>1820</w:t>
            </w:r>
          </w:p>
        </w:tc>
        <w:tc>
          <w:tcPr>
            <w:tcW w:w="1314" w:type="dxa"/>
            <w:tcBorders>
              <w:top w:val="nil"/>
              <w:left w:val="nil"/>
              <w:bottom w:val="double" w:sz="6" w:space="0" w:color="E26B0A"/>
              <w:right w:val="double" w:sz="6" w:space="0" w:color="E26B0A"/>
            </w:tcBorders>
            <w:shd w:val="clear" w:color="000000" w:fill="FABF8F"/>
            <w:noWrap/>
            <w:vAlign w:val="bottom"/>
            <w:hideMark/>
          </w:tcPr>
          <w:p w14:paraId="2CCE08AE" w14:textId="77777777" w:rsidR="00A6252B" w:rsidRPr="00ED2729" w:rsidRDefault="00A6252B" w:rsidP="00ED2729">
            <w:pPr>
              <w:jc w:val="right"/>
              <w:rPr>
                <w:rFonts w:eastAsia="Times New Roman" w:cs="Calibri"/>
                <w:sz w:val="20"/>
                <w:szCs w:val="20"/>
                <w:lang w:val="en-US"/>
              </w:rPr>
            </w:pPr>
            <w:r w:rsidRPr="00ED2729">
              <w:rPr>
                <w:rFonts w:eastAsia="Times New Roman" w:cs="Calibri"/>
                <w:sz w:val="20"/>
                <w:szCs w:val="20"/>
                <w:lang w:val="en-US"/>
              </w:rPr>
              <w:t>222</w:t>
            </w:r>
          </w:p>
        </w:tc>
        <w:tc>
          <w:tcPr>
            <w:tcW w:w="1559" w:type="dxa"/>
            <w:tcBorders>
              <w:top w:val="nil"/>
              <w:left w:val="nil"/>
              <w:bottom w:val="double" w:sz="6" w:space="0" w:color="E26B0A"/>
              <w:right w:val="double" w:sz="6" w:space="0" w:color="E26B0A"/>
            </w:tcBorders>
            <w:shd w:val="clear" w:color="000000" w:fill="FABF8F"/>
            <w:noWrap/>
            <w:vAlign w:val="bottom"/>
            <w:hideMark/>
          </w:tcPr>
          <w:p w14:paraId="772FBF2B" w14:textId="77777777" w:rsidR="00A6252B" w:rsidRPr="00ED2729" w:rsidRDefault="00A6252B" w:rsidP="00ED2729">
            <w:pPr>
              <w:jc w:val="right"/>
              <w:rPr>
                <w:rFonts w:eastAsia="Times New Roman" w:cs="Calibri"/>
                <w:sz w:val="20"/>
                <w:szCs w:val="20"/>
                <w:lang w:val="en-US"/>
              </w:rPr>
            </w:pPr>
            <w:r w:rsidRPr="00ED2729">
              <w:rPr>
                <w:rFonts w:eastAsia="Times New Roman" w:cs="Calibri"/>
                <w:sz w:val="20"/>
                <w:szCs w:val="20"/>
                <w:lang w:val="en-US"/>
              </w:rPr>
              <w:t>12,2%</w:t>
            </w:r>
          </w:p>
        </w:tc>
      </w:tr>
      <w:tr w:rsidR="00A6252B" w:rsidRPr="00ED2729" w14:paraId="47397CB5" w14:textId="77777777" w:rsidTr="00A6252B">
        <w:trPr>
          <w:trHeight w:val="300"/>
        </w:trPr>
        <w:tc>
          <w:tcPr>
            <w:tcW w:w="405" w:type="dxa"/>
            <w:tcBorders>
              <w:top w:val="nil"/>
              <w:left w:val="double" w:sz="6" w:space="0" w:color="E26B0A"/>
              <w:bottom w:val="double" w:sz="6" w:space="0" w:color="E26B0A"/>
              <w:right w:val="double" w:sz="6" w:space="0" w:color="E26B0A"/>
            </w:tcBorders>
            <w:shd w:val="clear" w:color="auto" w:fill="auto"/>
            <w:noWrap/>
            <w:vAlign w:val="bottom"/>
            <w:hideMark/>
          </w:tcPr>
          <w:p w14:paraId="7B3FD176" w14:textId="77777777" w:rsidR="00A6252B" w:rsidRPr="00ED2729" w:rsidRDefault="00A6252B" w:rsidP="00ED2729">
            <w:pPr>
              <w:jc w:val="center"/>
              <w:rPr>
                <w:rFonts w:eastAsia="Times New Roman" w:cs="Calibri"/>
                <w:sz w:val="20"/>
                <w:szCs w:val="20"/>
                <w:lang w:val="en-US"/>
              </w:rPr>
            </w:pPr>
            <w:r w:rsidRPr="00ED2729">
              <w:rPr>
                <w:rFonts w:eastAsia="Times New Roman" w:cs="Calibri"/>
                <w:sz w:val="20"/>
                <w:szCs w:val="20"/>
                <w:lang w:val="en-US"/>
              </w:rPr>
              <w:t>7</w:t>
            </w:r>
          </w:p>
        </w:tc>
        <w:tc>
          <w:tcPr>
            <w:tcW w:w="2911" w:type="dxa"/>
            <w:tcBorders>
              <w:top w:val="nil"/>
              <w:left w:val="nil"/>
              <w:bottom w:val="double" w:sz="6" w:space="0" w:color="E26B0A"/>
              <w:right w:val="double" w:sz="6" w:space="0" w:color="E26B0A"/>
            </w:tcBorders>
            <w:shd w:val="clear" w:color="auto" w:fill="auto"/>
            <w:noWrap/>
            <w:vAlign w:val="bottom"/>
            <w:hideMark/>
          </w:tcPr>
          <w:p w14:paraId="5A538537" w14:textId="77777777" w:rsidR="00A6252B" w:rsidRPr="00ED2729" w:rsidRDefault="00A6252B" w:rsidP="00ED2729">
            <w:pPr>
              <w:rPr>
                <w:rFonts w:eastAsia="Times New Roman" w:cs="Calibri"/>
                <w:sz w:val="20"/>
                <w:szCs w:val="20"/>
                <w:lang w:val="en-US"/>
              </w:rPr>
            </w:pPr>
            <w:r w:rsidRPr="00ED2729">
              <w:rPr>
                <w:rFonts w:eastAsia="Times New Roman" w:cs="Calibri"/>
                <w:sz w:val="20"/>
                <w:szCs w:val="20"/>
                <w:lang w:val="en-US"/>
              </w:rPr>
              <w:t>Финансов резултат</w:t>
            </w:r>
          </w:p>
        </w:tc>
        <w:tc>
          <w:tcPr>
            <w:tcW w:w="1624" w:type="dxa"/>
            <w:tcBorders>
              <w:top w:val="nil"/>
              <w:left w:val="nil"/>
              <w:bottom w:val="double" w:sz="6" w:space="0" w:color="E26B0A"/>
              <w:right w:val="double" w:sz="6" w:space="0" w:color="E26B0A"/>
            </w:tcBorders>
            <w:shd w:val="clear" w:color="000000" w:fill="FDE9D9"/>
            <w:noWrap/>
            <w:vAlign w:val="bottom"/>
            <w:hideMark/>
          </w:tcPr>
          <w:p w14:paraId="512A77CE" w14:textId="77777777" w:rsidR="00A6252B" w:rsidRPr="00ED2729" w:rsidRDefault="00A6252B" w:rsidP="00ED2729">
            <w:pPr>
              <w:jc w:val="right"/>
              <w:rPr>
                <w:rFonts w:eastAsia="Times New Roman" w:cs="Calibri"/>
                <w:sz w:val="20"/>
                <w:szCs w:val="20"/>
                <w:lang w:val="en-US"/>
              </w:rPr>
            </w:pPr>
            <w:r w:rsidRPr="00ED2729">
              <w:rPr>
                <w:rFonts w:eastAsia="Times New Roman" w:cs="Calibri"/>
                <w:sz w:val="20"/>
                <w:szCs w:val="20"/>
                <w:lang w:val="en-US"/>
              </w:rPr>
              <w:t>224</w:t>
            </w:r>
          </w:p>
        </w:tc>
        <w:tc>
          <w:tcPr>
            <w:tcW w:w="1826" w:type="dxa"/>
            <w:tcBorders>
              <w:top w:val="nil"/>
              <w:left w:val="nil"/>
              <w:bottom w:val="double" w:sz="6" w:space="0" w:color="E26B0A"/>
              <w:right w:val="double" w:sz="6" w:space="0" w:color="E26B0A"/>
            </w:tcBorders>
            <w:shd w:val="clear" w:color="000000" w:fill="FDE9D9"/>
            <w:noWrap/>
            <w:vAlign w:val="bottom"/>
            <w:hideMark/>
          </w:tcPr>
          <w:p w14:paraId="6542F818" w14:textId="77777777" w:rsidR="00A6252B" w:rsidRPr="00ED2729" w:rsidRDefault="00A6252B" w:rsidP="00ED2729">
            <w:pPr>
              <w:jc w:val="right"/>
              <w:rPr>
                <w:rFonts w:eastAsia="Times New Roman" w:cs="Calibri"/>
                <w:sz w:val="20"/>
                <w:szCs w:val="20"/>
                <w:lang w:val="en-US"/>
              </w:rPr>
            </w:pPr>
            <w:r w:rsidRPr="00ED2729">
              <w:rPr>
                <w:rFonts w:eastAsia="Times New Roman" w:cs="Calibri"/>
                <w:sz w:val="20"/>
                <w:szCs w:val="20"/>
                <w:lang w:val="en-US"/>
              </w:rPr>
              <w:t>96</w:t>
            </w:r>
          </w:p>
        </w:tc>
        <w:tc>
          <w:tcPr>
            <w:tcW w:w="1314" w:type="dxa"/>
            <w:tcBorders>
              <w:top w:val="nil"/>
              <w:left w:val="nil"/>
              <w:bottom w:val="double" w:sz="6" w:space="0" w:color="E26B0A"/>
              <w:right w:val="double" w:sz="6" w:space="0" w:color="E26B0A"/>
            </w:tcBorders>
            <w:shd w:val="clear" w:color="000000" w:fill="FABF8F"/>
            <w:noWrap/>
            <w:vAlign w:val="bottom"/>
            <w:hideMark/>
          </w:tcPr>
          <w:p w14:paraId="55349DE3" w14:textId="77777777" w:rsidR="00A6252B" w:rsidRPr="00ED2729" w:rsidRDefault="00A6252B" w:rsidP="00ED2729">
            <w:pPr>
              <w:jc w:val="right"/>
              <w:rPr>
                <w:rFonts w:eastAsia="Times New Roman" w:cs="Calibri"/>
                <w:sz w:val="20"/>
                <w:szCs w:val="20"/>
                <w:lang w:val="en-US"/>
              </w:rPr>
            </w:pPr>
            <w:r w:rsidRPr="00ED2729">
              <w:rPr>
                <w:rFonts w:eastAsia="Times New Roman" w:cs="Calibri"/>
                <w:sz w:val="20"/>
                <w:szCs w:val="20"/>
                <w:lang w:val="en-US"/>
              </w:rPr>
              <w:t>128</w:t>
            </w:r>
          </w:p>
        </w:tc>
        <w:tc>
          <w:tcPr>
            <w:tcW w:w="1559" w:type="dxa"/>
            <w:tcBorders>
              <w:top w:val="nil"/>
              <w:left w:val="nil"/>
              <w:bottom w:val="double" w:sz="6" w:space="0" w:color="E26B0A"/>
              <w:right w:val="double" w:sz="6" w:space="0" w:color="E26B0A"/>
            </w:tcBorders>
            <w:shd w:val="clear" w:color="000000" w:fill="FABF8F"/>
            <w:noWrap/>
            <w:vAlign w:val="bottom"/>
            <w:hideMark/>
          </w:tcPr>
          <w:p w14:paraId="5E9A0041" w14:textId="77777777" w:rsidR="00A6252B" w:rsidRPr="00ED2729" w:rsidRDefault="00A6252B" w:rsidP="00ED2729">
            <w:pPr>
              <w:jc w:val="right"/>
              <w:rPr>
                <w:rFonts w:eastAsia="Times New Roman" w:cs="Calibri"/>
                <w:sz w:val="20"/>
                <w:szCs w:val="20"/>
                <w:lang w:val="en-US"/>
              </w:rPr>
            </w:pPr>
            <w:r w:rsidRPr="00ED2729">
              <w:rPr>
                <w:rFonts w:eastAsia="Times New Roman" w:cs="Calibri"/>
                <w:sz w:val="20"/>
                <w:szCs w:val="20"/>
                <w:lang w:val="en-US"/>
              </w:rPr>
              <w:t>133,3%</w:t>
            </w:r>
          </w:p>
        </w:tc>
      </w:tr>
    </w:tbl>
    <w:p w14:paraId="624DF24C" w14:textId="77777777" w:rsidR="00ED2729" w:rsidRDefault="00ED2729" w:rsidP="00C87F57">
      <w:pPr>
        <w:jc w:val="both"/>
        <w:rPr>
          <w:rFonts w:eastAsia="Times New Roman" w:cs="Calibri"/>
          <w:b/>
          <w:lang w:eastAsia="bg-BG"/>
        </w:rPr>
      </w:pPr>
    </w:p>
    <w:p w14:paraId="54F3F728" w14:textId="5808489C" w:rsidR="00ED2729" w:rsidRDefault="00ED2729" w:rsidP="00C87F57">
      <w:pPr>
        <w:jc w:val="both"/>
        <w:rPr>
          <w:rFonts w:eastAsia="Times New Roman" w:cs="Calibri"/>
          <w:b/>
          <w:lang w:eastAsia="bg-BG"/>
        </w:rPr>
      </w:pPr>
      <w:r>
        <w:rPr>
          <w:noProof/>
          <w:lang w:eastAsia="bg-BG"/>
        </w:rPr>
        <w:drawing>
          <wp:inline distT="0" distB="0" distL="0" distR="0" wp14:anchorId="50D66F06" wp14:editId="3E022CA9">
            <wp:extent cx="5932170" cy="3246120"/>
            <wp:effectExtent l="57150" t="19050" r="49530" b="87630"/>
            <wp:docPr id="26" name="Chart 26">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79CCD1B-359B-49BE-AE52-D47C4CD44A1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14:paraId="566CFADF" w14:textId="77777777" w:rsidR="00ED2729" w:rsidRDefault="00ED2729" w:rsidP="00C87F57">
      <w:pPr>
        <w:jc w:val="both"/>
        <w:rPr>
          <w:rFonts w:eastAsia="Times New Roman" w:cs="Calibri"/>
          <w:b/>
          <w:lang w:eastAsia="bg-BG"/>
        </w:rPr>
      </w:pPr>
    </w:p>
    <w:p w14:paraId="47F3EC66" w14:textId="77777777" w:rsidR="00265694" w:rsidRPr="00265694" w:rsidRDefault="00265694" w:rsidP="00C87F57">
      <w:pPr>
        <w:jc w:val="both"/>
        <w:rPr>
          <w:rFonts w:eastAsia="Times New Roman" w:cs="Calibri"/>
          <w:b/>
          <w:lang w:eastAsia="bg-BG"/>
        </w:rPr>
      </w:pPr>
    </w:p>
    <w:p w14:paraId="09A4903E" w14:textId="04D02A8C" w:rsidR="00E2171B" w:rsidRPr="00316233" w:rsidRDefault="001548C1" w:rsidP="002228B1">
      <w:pPr>
        <w:pStyle w:val="NoSpacing"/>
        <w:shd w:val="clear" w:color="auto" w:fill="E36C0A"/>
        <w:autoSpaceDE w:val="0"/>
        <w:autoSpaceDN w:val="0"/>
        <w:adjustRightInd w:val="0"/>
        <w:jc w:val="both"/>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pPr>
      <w:r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X</w:t>
      </w:r>
      <w:r w:rsidR="00E50CB3"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I</w:t>
      </w:r>
      <w:r w:rsidR="00E2171B"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V</w:t>
      </w:r>
      <w:r w:rsidR="00E2171B"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00102813"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АНАЛИЗ И ОЦЕНКА НА ПОЛИТИКАТА </w:t>
      </w:r>
      <w:r w:rsidR="00A41CF9"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ОТНОСНО УПРАВЛЕНИЕ НА ФИНАНСОВИТЕ </w:t>
      </w:r>
      <w:proofErr w:type="gramStart"/>
      <w:r w:rsidR="00A41CF9"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РЕСУРСИ</w:t>
      </w:r>
      <w:r w:rsidR="00102813"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00E2171B"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 (</w:t>
      </w:r>
      <w:proofErr w:type="gramEnd"/>
      <w:r w:rsidR="00A41CF9"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съгл. чл.39, т.8 от ЗС и </w:t>
      </w:r>
      <w:r w:rsidR="00E2171B"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т. 1</w:t>
      </w:r>
      <w:r w:rsidR="00A41CF9"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2</w:t>
      </w:r>
      <w:r w:rsidR="00E2171B"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 от Приложение № </w:t>
      </w:r>
      <w:r w:rsidR="000D55FF">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2</w:t>
      </w:r>
      <w:r w:rsidR="00E2171B"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w:t>
      </w:r>
    </w:p>
    <w:p w14:paraId="093E47C9" w14:textId="77777777" w:rsidR="00A41CF9" w:rsidRPr="006623F6" w:rsidRDefault="00A41CF9" w:rsidP="00A41CF9">
      <w:pPr>
        <w:tabs>
          <w:tab w:val="left" w:pos="0"/>
        </w:tabs>
        <w:ind w:right="114" w:firstLine="180"/>
        <w:jc w:val="both"/>
      </w:pPr>
    </w:p>
    <w:p w14:paraId="35549268" w14:textId="34882A03" w:rsidR="00A41CF9" w:rsidRPr="00F51E2A" w:rsidRDefault="00A41CF9" w:rsidP="002228B1">
      <w:pPr>
        <w:numPr>
          <w:ilvl w:val="0"/>
          <w:numId w:val="9"/>
        </w:numPr>
        <w:tabs>
          <w:tab w:val="left" w:pos="284"/>
          <w:tab w:val="left" w:pos="4365"/>
        </w:tabs>
        <w:autoSpaceDE w:val="0"/>
        <w:autoSpaceDN w:val="0"/>
        <w:adjustRightInd w:val="0"/>
        <w:ind w:left="284" w:right="114" w:hanging="284"/>
        <w:jc w:val="both"/>
        <w:rPr>
          <w:rFonts w:eastAsia="Times New Roman" w:cs="Calibri"/>
          <w:b/>
        </w:rPr>
      </w:pPr>
      <w:r w:rsidRPr="00F51E2A">
        <w:rPr>
          <w:rFonts w:eastAsia="Times New Roman" w:cs="Calibri"/>
          <w:b/>
        </w:rPr>
        <w:t xml:space="preserve">Политиката  относно управление на финансовите ресурси на </w:t>
      </w:r>
      <w:r w:rsidR="004745F4" w:rsidRPr="00FD3526">
        <w:rPr>
          <w:color w:val="000000"/>
          <w:kern w:val="2"/>
        </w:rPr>
        <w:t>„</w:t>
      </w:r>
      <w:r w:rsidR="004745F4">
        <w:rPr>
          <w:color w:val="000000"/>
          <w:kern w:val="2"/>
        </w:rPr>
        <w:t>ДКЦ Чайка</w:t>
      </w:r>
      <w:r w:rsidR="004745F4" w:rsidRPr="00FD3526">
        <w:rPr>
          <w:color w:val="000000"/>
          <w:kern w:val="2"/>
        </w:rPr>
        <w:t xml:space="preserve">” </w:t>
      </w:r>
      <w:r w:rsidR="004745F4">
        <w:rPr>
          <w:color w:val="000000"/>
          <w:kern w:val="2"/>
        </w:rPr>
        <w:t>ЕОО</w:t>
      </w:r>
      <w:r w:rsidR="004745F4" w:rsidRPr="00FD3526">
        <w:rPr>
          <w:color w:val="000000"/>
          <w:kern w:val="2"/>
        </w:rPr>
        <w:t>Д</w:t>
      </w:r>
      <w:r w:rsidR="004745F4" w:rsidRPr="00F51E2A">
        <w:rPr>
          <w:rFonts w:eastAsia="Times New Roman" w:cs="Calibri"/>
          <w:b/>
        </w:rPr>
        <w:t xml:space="preserve"> </w:t>
      </w:r>
      <w:r w:rsidR="00E50CB3">
        <w:rPr>
          <w:rFonts w:eastAsia="Times New Roman" w:cs="Calibri"/>
          <w:b/>
        </w:rPr>
        <w:t xml:space="preserve"> </w:t>
      </w:r>
      <w:r w:rsidRPr="00F51E2A">
        <w:rPr>
          <w:rFonts w:eastAsia="Times New Roman" w:cs="Calibri"/>
          <w:b/>
        </w:rPr>
        <w:t>касае способността му да:</w:t>
      </w:r>
    </w:p>
    <w:p w14:paraId="088175F4" w14:textId="77777777" w:rsidR="00A41CF9" w:rsidRPr="006623F6" w:rsidRDefault="00A41CF9" w:rsidP="000D4887">
      <w:pPr>
        <w:numPr>
          <w:ilvl w:val="0"/>
          <w:numId w:val="28"/>
        </w:numPr>
        <w:tabs>
          <w:tab w:val="left" w:pos="283"/>
          <w:tab w:val="left" w:pos="567"/>
        </w:tabs>
        <w:autoSpaceDE w:val="0"/>
        <w:autoSpaceDN w:val="0"/>
        <w:adjustRightInd w:val="0"/>
        <w:ind w:right="114"/>
        <w:jc w:val="both"/>
      </w:pPr>
      <w:r w:rsidRPr="006623F6">
        <w:t>изпълнява задълженията си навременно;</w:t>
      </w:r>
    </w:p>
    <w:p w14:paraId="6996C0C5" w14:textId="77777777" w:rsidR="00A41CF9" w:rsidRPr="006623F6" w:rsidRDefault="00A41CF9" w:rsidP="000D4887">
      <w:pPr>
        <w:numPr>
          <w:ilvl w:val="0"/>
          <w:numId w:val="28"/>
        </w:numPr>
        <w:tabs>
          <w:tab w:val="left" w:pos="283"/>
          <w:tab w:val="left" w:pos="567"/>
        </w:tabs>
        <w:autoSpaceDE w:val="0"/>
        <w:autoSpaceDN w:val="0"/>
        <w:adjustRightInd w:val="0"/>
        <w:ind w:right="114"/>
        <w:jc w:val="both"/>
      </w:pPr>
      <w:r w:rsidRPr="006623F6">
        <w:t>реализира добра събираемост на вземанията;</w:t>
      </w:r>
    </w:p>
    <w:p w14:paraId="576E2912" w14:textId="77777777" w:rsidR="00A41CF9" w:rsidRPr="006623F6" w:rsidRDefault="00A41CF9" w:rsidP="000D4887">
      <w:pPr>
        <w:numPr>
          <w:ilvl w:val="0"/>
          <w:numId w:val="28"/>
        </w:numPr>
        <w:tabs>
          <w:tab w:val="left" w:pos="283"/>
          <w:tab w:val="left" w:pos="567"/>
        </w:tabs>
        <w:autoSpaceDE w:val="0"/>
        <w:autoSpaceDN w:val="0"/>
        <w:adjustRightInd w:val="0"/>
        <w:ind w:right="114"/>
        <w:jc w:val="both"/>
      </w:pPr>
      <w:r w:rsidRPr="006623F6">
        <w:t>генерира приходи, а оттам и печалба;</w:t>
      </w:r>
    </w:p>
    <w:p w14:paraId="382A79C5" w14:textId="77777777" w:rsidR="00A41CF9" w:rsidRPr="006623F6" w:rsidRDefault="00A41CF9" w:rsidP="000D4887">
      <w:pPr>
        <w:numPr>
          <w:ilvl w:val="0"/>
          <w:numId w:val="28"/>
        </w:numPr>
        <w:tabs>
          <w:tab w:val="left" w:pos="283"/>
          <w:tab w:val="left" w:pos="567"/>
        </w:tabs>
        <w:autoSpaceDE w:val="0"/>
        <w:autoSpaceDN w:val="0"/>
        <w:adjustRightInd w:val="0"/>
        <w:ind w:right="114"/>
        <w:jc w:val="both"/>
      </w:pPr>
      <w:r w:rsidRPr="006623F6">
        <w:t>финансира приоритетно ключови инвестиционни проекти;</w:t>
      </w:r>
    </w:p>
    <w:p w14:paraId="508E596D" w14:textId="77777777" w:rsidR="00A41CF9" w:rsidRPr="006623F6" w:rsidRDefault="00A41CF9" w:rsidP="000D4887">
      <w:pPr>
        <w:numPr>
          <w:ilvl w:val="0"/>
          <w:numId w:val="28"/>
        </w:numPr>
        <w:tabs>
          <w:tab w:val="left" w:pos="283"/>
          <w:tab w:val="left" w:pos="567"/>
        </w:tabs>
        <w:autoSpaceDE w:val="0"/>
        <w:autoSpaceDN w:val="0"/>
        <w:adjustRightInd w:val="0"/>
        <w:ind w:right="114"/>
        <w:jc w:val="both"/>
      </w:pPr>
      <w:r w:rsidRPr="006623F6">
        <w:t>да ин</w:t>
      </w:r>
      <w:r>
        <w:t>вестира в рентабилни инвестиции.</w:t>
      </w:r>
    </w:p>
    <w:p w14:paraId="000982CB" w14:textId="77777777" w:rsidR="00A41CF9" w:rsidRPr="006623F6" w:rsidRDefault="00A41CF9" w:rsidP="00A41CF9">
      <w:pPr>
        <w:tabs>
          <w:tab w:val="left" w:pos="283"/>
          <w:tab w:val="left" w:pos="4365"/>
        </w:tabs>
        <w:autoSpaceDE w:val="0"/>
        <w:autoSpaceDN w:val="0"/>
        <w:adjustRightInd w:val="0"/>
        <w:ind w:left="113" w:right="114"/>
        <w:jc w:val="both"/>
      </w:pPr>
    </w:p>
    <w:p w14:paraId="07EB5135" w14:textId="77777777" w:rsidR="00A41CF9" w:rsidRPr="00F51E2A" w:rsidRDefault="00A41CF9" w:rsidP="002228B1">
      <w:pPr>
        <w:numPr>
          <w:ilvl w:val="0"/>
          <w:numId w:val="9"/>
        </w:numPr>
        <w:tabs>
          <w:tab w:val="left" w:pos="283"/>
          <w:tab w:val="left" w:pos="4365"/>
        </w:tabs>
        <w:autoSpaceDE w:val="0"/>
        <w:autoSpaceDN w:val="0"/>
        <w:adjustRightInd w:val="0"/>
        <w:ind w:left="284" w:right="114" w:hanging="284"/>
        <w:jc w:val="both"/>
        <w:rPr>
          <w:rFonts w:eastAsia="Times New Roman" w:cs="Calibri"/>
          <w:b/>
        </w:rPr>
      </w:pPr>
      <w:r w:rsidRPr="00F51E2A">
        <w:rPr>
          <w:rFonts w:eastAsia="Times New Roman" w:cs="Calibri"/>
          <w:b/>
        </w:rPr>
        <w:t xml:space="preserve">Политиката  относно управление на финансовите ресурси на </w:t>
      </w:r>
      <w:r w:rsidR="004745F4" w:rsidRPr="00FD3526">
        <w:rPr>
          <w:color w:val="000000"/>
          <w:kern w:val="2"/>
        </w:rPr>
        <w:t>„</w:t>
      </w:r>
      <w:r w:rsidR="004745F4">
        <w:rPr>
          <w:color w:val="000000"/>
          <w:kern w:val="2"/>
        </w:rPr>
        <w:t xml:space="preserve">ДКЦ Чайка </w:t>
      </w:r>
      <w:r w:rsidR="004745F4" w:rsidRPr="00FD3526">
        <w:rPr>
          <w:color w:val="000000"/>
          <w:kern w:val="2"/>
        </w:rPr>
        <w:t xml:space="preserve">” </w:t>
      </w:r>
      <w:r w:rsidR="004745F4">
        <w:rPr>
          <w:color w:val="000000"/>
          <w:kern w:val="2"/>
        </w:rPr>
        <w:t>ЕОО</w:t>
      </w:r>
      <w:r w:rsidR="004745F4" w:rsidRPr="00FD3526">
        <w:rPr>
          <w:color w:val="000000"/>
          <w:kern w:val="2"/>
        </w:rPr>
        <w:t>Д</w:t>
      </w:r>
      <w:r w:rsidR="004745F4" w:rsidRPr="00F51E2A">
        <w:rPr>
          <w:rFonts w:eastAsia="Times New Roman" w:cs="Calibri"/>
          <w:b/>
        </w:rPr>
        <w:t xml:space="preserve"> </w:t>
      </w:r>
      <w:r w:rsidR="00E50CB3">
        <w:rPr>
          <w:rFonts w:eastAsia="Times New Roman" w:cs="Calibri"/>
          <w:b/>
        </w:rPr>
        <w:t xml:space="preserve"> </w:t>
      </w:r>
      <w:r w:rsidRPr="00F51E2A">
        <w:rPr>
          <w:rFonts w:eastAsia="Times New Roman" w:cs="Calibri"/>
          <w:b/>
        </w:rPr>
        <w:t>отчита влиянието на ключови фактори като:</w:t>
      </w:r>
    </w:p>
    <w:p w14:paraId="69971F37" w14:textId="77777777" w:rsidR="00A41CF9" w:rsidRPr="00A41CF9" w:rsidRDefault="00A41CF9" w:rsidP="000D4887">
      <w:pPr>
        <w:numPr>
          <w:ilvl w:val="0"/>
          <w:numId w:val="28"/>
        </w:numPr>
        <w:tabs>
          <w:tab w:val="left" w:pos="283"/>
          <w:tab w:val="left" w:pos="567"/>
        </w:tabs>
        <w:autoSpaceDE w:val="0"/>
        <w:autoSpaceDN w:val="0"/>
        <w:adjustRightInd w:val="0"/>
        <w:ind w:right="114"/>
        <w:jc w:val="both"/>
      </w:pPr>
      <w:r w:rsidRPr="00A41CF9">
        <w:t>междуфирмените вземания и задължения;</w:t>
      </w:r>
    </w:p>
    <w:p w14:paraId="65957AFB" w14:textId="77777777" w:rsidR="00A41CF9" w:rsidRPr="00A41CF9" w:rsidRDefault="00A41CF9" w:rsidP="000D4887">
      <w:pPr>
        <w:numPr>
          <w:ilvl w:val="0"/>
          <w:numId w:val="28"/>
        </w:numPr>
        <w:tabs>
          <w:tab w:val="left" w:pos="283"/>
          <w:tab w:val="left" w:pos="567"/>
        </w:tabs>
        <w:autoSpaceDE w:val="0"/>
        <w:autoSpaceDN w:val="0"/>
        <w:adjustRightInd w:val="0"/>
        <w:ind w:right="114"/>
        <w:jc w:val="both"/>
      </w:pPr>
      <w:r w:rsidRPr="00A41CF9">
        <w:t>събираемост на вземанията;</w:t>
      </w:r>
    </w:p>
    <w:p w14:paraId="329BDC6E" w14:textId="77777777" w:rsidR="00A41CF9" w:rsidRPr="00A41CF9" w:rsidRDefault="00A41CF9" w:rsidP="000D4887">
      <w:pPr>
        <w:numPr>
          <w:ilvl w:val="0"/>
          <w:numId w:val="28"/>
        </w:numPr>
        <w:tabs>
          <w:tab w:val="left" w:pos="283"/>
          <w:tab w:val="left" w:pos="567"/>
        </w:tabs>
        <w:autoSpaceDE w:val="0"/>
        <w:autoSpaceDN w:val="0"/>
        <w:adjustRightInd w:val="0"/>
        <w:ind w:right="114"/>
        <w:jc w:val="both"/>
      </w:pPr>
      <w:r w:rsidRPr="00A41CF9">
        <w:t>ценова политика;</w:t>
      </w:r>
    </w:p>
    <w:p w14:paraId="20643B5C" w14:textId="77777777" w:rsidR="00A41CF9" w:rsidRPr="00A41CF9" w:rsidRDefault="00A41CF9" w:rsidP="000D4887">
      <w:pPr>
        <w:numPr>
          <w:ilvl w:val="0"/>
          <w:numId w:val="28"/>
        </w:numPr>
        <w:tabs>
          <w:tab w:val="left" w:pos="283"/>
          <w:tab w:val="left" w:pos="567"/>
        </w:tabs>
        <w:autoSpaceDE w:val="0"/>
        <w:autoSpaceDN w:val="0"/>
        <w:adjustRightInd w:val="0"/>
        <w:ind w:right="114"/>
        <w:jc w:val="both"/>
      </w:pPr>
      <w:r w:rsidRPr="00A41CF9">
        <w:t>търговска политика;</w:t>
      </w:r>
    </w:p>
    <w:p w14:paraId="4045F244" w14:textId="77777777" w:rsidR="00A41CF9" w:rsidRPr="00A41CF9" w:rsidRDefault="00A41CF9" w:rsidP="000D4887">
      <w:pPr>
        <w:numPr>
          <w:ilvl w:val="0"/>
          <w:numId w:val="28"/>
        </w:numPr>
        <w:tabs>
          <w:tab w:val="left" w:pos="283"/>
          <w:tab w:val="left" w:pos="567"/>
        </w:tabs>
        <w:autoSpaceDE w:val="0"/>
        <w:autoSpaceDN w:val="0"/>
        <w:adjustRightInd w:val="0"/>
        <w:ind w:right="114"/>
        <w:jc w:val="both"/>
      </w:pPr>
      <w:r w:rsidRPr="00A41CF9">
        <w:t>политиката на хеджиране</w:t>
      </w:r>
      <w:r w:rsidR="00A51EC3">
        <w:t>;</w:t>
      </w:r>
    </w:p>
    <w:p w14:paraId="566BFD3C" w14:textId="77777777" w:rsidR="00A41CF9" w:rsidRPr="00A41CF9" w:rsidRDefault="00A41CF9" w:rsidP="000D4887">
      <w:pPr>
        <w:numPr>
          <w:ilvl w:val="0"/>
          <w:numId w:val="28"/>
        </w:numPr>
        <w:tabs>
          <w:tab w:val="left" w:pos="283"/>
          <w:tab w:val="left" w:pos="567"/>
        </w:tabs>
        <w:autoSpaceDE w:val="0"/>
        <w:autoSpaceDN w:val="0"/>
        <w:adjustRightInd w:val="0"/>
        <w:ind w:right="114"/>
        <w:jc w:val="both"/>
      </w:pPr>
      <w:r w:rsidRPr="00A41CF9">
        <w:t>данъчна политика и ползването на данъчни облекчения;</w:t>
      </w:r>
    </w:p>
    <w:p w14:paraId="07DEBB2B" w14:textId="77777777" w:rsidR="00A41CF9" w:rsidRPr="00A41CF9" w:rsidRDefault="00A41CF9" w:rsidP="000D4887">
      <w:pPr>
        <w:numPr>
          <w:ilvl w:val="0"/>
          <w:numId w:val="28"/>
        </w:numPr>
        <w:tabs>
          <w:tab w:val="left" w:pos="283"/>
          <w:tab w:val="left" w:pos="567"/>
        </w:tabs>
        <w:autoSpaceDE w:val="0"/>
        <w:autoSpaceDN w:val="0"/>
        <w:adjustRightInd w:val="0"/>
        <w:ind w:right="114"/>
        <w:jc w:val="both"/>
      </w:pPr>
      <w:r w:rsidRPr="00A41CF9">
        <w:t>плащане на санкции;</w:t>
      </w:r>
    </w:p>
    <w:p w14:paraId="06BF2855" w14:textId="77777777" w:rsidR="00A41CF9" w:rsidRPr="00A41CF9" w:rsidRDefault="00A41CF9" w:rsidP="000D4887">
      <w:pPr>
        <w:numPr>
          <w:ilvl w:val="0"/>
          <w:numId w:val="28"/>
        </w:numPr>
        <w:tabs>
          <w:tab w:val="left" w:pos="283"/>
          <w:tab w:val="left" w:pos="567"/>
        </w:tabs>
        <w:autoSpaceDE w:val="0"/>
        <w:autoSpaceDN w:val="0"/>
        <w:adjustRightInd w:val="0"/>
        <w:ind w:right="114"/>
        <w:jc w:val="both"/>
      </w:pPr>
      <w:r w:rsidRPr="00A41CF9">
        <w:t>технологичната обезпеченост на дружеството;</w:t>
      </w:r>
    </w:p>
    <w:p w14:paraId="6E7AF1D5" w14:textId="77777777" w:rsidR="00A41CF9" w:rsidRPr="00A41CF9" w:rsidRDefault="00A41CF9" w:rsidP="000D4887">
      <w:pPr>
        <w:numPr>
          <w:ilvl w:val="0"/>
          <w:numId w:val="28"/>
        </w:numPr>
        <w:tabs>
          <w:tab w:val="left" w:pos="283"/>
          <w:tab w:val="left" w:pos="567"/>
        </w:tabs>
        <w:autoSpaceDE w:val="0"/>
        <w:autoSpaceDN w:val="0"/>
        <w:adjustRightInd w:val="0"/>
        <w:ind w:right="114"/>
        <w:jc w:val="both"/>
      </w:pPr>
      <w:r w:rsidRPr="00A41CF9">
        <w:t>стимулиране и регулиране на производството и потреблението;</w:t>
      </w:r>
    </w:p>
    <w:p w14:paraId="7D9C77FA" w14:textId="77777777" w:rsidR="00A41CF9" w:rsidRPr="00A41CF9" w:rsidRDefault="00A41CF9" w:rsidP="000D4887">
      <w:pPr>
        <w:numPr>
          <w:ilvl w:val="0"/>
          <w:numId w:val="28"/>
        </w:numPr>
        <w:tabs>
          <w:tab w:val="left" w:pos="283"/>
          <w:tab w:val="left" w:pos="567"/>
        </w:tabs>
        <w:autoSpaceDE w:val="0"/>
        <w:autoSpaceDN w:val="0"/>
        <w:adjustRightInd w:val="0"/>
        <w:ind w:right="114"/>
        <w:jc w:val="both"/>
      </w:pPr>
      <w:r w:rsidRPr="00A41CF9">
        <w:t>пазари за реализация на произведената продукция / предлаганите услуги;</w:t>
      </w:r>
    </w:p>
    <w:p w14:paraId="76B3BEE8" w14:textId="77777777" w:rsidR="00A41CF9" w:rsidRPr="00A41CF9" w:rsidRDefault="00A41CF9" w:rsidP="000D4887">
      <w:pPr>
        <w:numPr>
          <w:ilvl w:val="0"/>
          <w:numId w:val="28"/>
        </w:numPr>
        <w:tabs>
          <w:tab w:val="left" w:pos="283"/>
          <w:tab w:val="left" w:pos="567"/>
        </w:tabs>
        <w:autoSpaceDE w:val="0"/>
        <w:autoSpaceDN w:val="0"/>
        <w:adjustRightInd w:val="0"/>
        <w:ind w:right="114"/>
        <w:jc w:val="both"/>
      </w:pPr>
      <w:r w:rsidRPr="00A41CF9">
        <w:t>конкурентоспособността на дружеството;</w:t>
      </w:r>
    </w:p>
    <w:p w14:paraId="68AFCBAE" w14:textId="77777777" w:rsidR="00A41CF9" w:rsidRPr="00A41CF9" w:rsidRDefault="00A41CF9" w:rsidP="000D4887">
      <w:pPr>
        <w:numPr>
          <w:ilvl w:val="0"/>
          <w:numId w:val="28"/>
        </w:numPr>
        <w:tabs>
          <w:tab w:val="left" w:pos="283"/>
          <w:tab w:val="left" w:pos="567"/>
        </w:tabs>
        <w:autoSpaceDE w:val="0"/>
        <w:autoSpaceDN w:val="0"/>
        <w:adjustRightInd w:val="0"/>
        <w:ind w:right="114"/>
        <w:jc w:val="both"/>
      </w:pPr>
      <w:r w:rsidRPr="00A41CF9">
        <w:t>взаимоотношения с финансово-кредитни институции;</w:t>
      </w:r>
    </w:p>
    <w:p w14:paraId="3B25C6BA" w14:textId="77777777" w:rsidR="00A41CF9" w:rsidRPr="00A41CF9" w:rsidRDefault="00A41CF9" w:rsidP="000D4887">
      <w:pPr>
        <w:numPr>
          <w:ilvl w:val="0"/>
          <w:numId w:val="28"/>
        </w:numPr>
        <w:tabs>
          <w:tab w:val="left" w:pos="283"/>
          <w:tab w:val="left" w:pos="567"/>
        </w:tabs>
        <w:autoSpaceDE w:val="0"/>
        <w:autoSpaceDN w:val="0"/>
        <w:adjustRightInd w:val="0"/>
        <w:ind w:right="114"/>
        <w:jc w:val="both"/>
      </w:pPr>
      <w:r w:rsidRPr="00A41CF9">
        <w:t>държавни субсидии за подпомагане на дейността;</w:t>
      </w:r>
    </w:p>
    <w:p w14:paraId="3345925B" w14:textId="77777777" w:rsidR="00A41CF9" w:rsidRPr="00A41CF9" w:rsidRDefault="00A41CF9" w:rsidP="000D4887">
      <w:pPr>
        <w:numPr>
          <w:ilvl w:val="0"/>
          <w:numId w:val="28"/>
        </w:numPr>
        <w:tabs>
          <w:tab w:val="left" w:pos="283"/>
          <w:tab w:val="left" w:pos="567"/>
        </w:tabs>
        <w:autoSpaceDE w:val="0"/>
        <w:autoSpaceDN w:val="0"/>
        <w:adjustRightInd w:val="0"/>
        <w:ind w:right="114"/>
        <w:jc w:val="both"/>
      </w:pPr>
      <w:r w:rsidRPr="00A41CF9">
        <w:t>развитие на международните отношения.</w:t>
      </w:r>
    </w:p>
    <w:p w14:paraId="0F0C7D29" w14:textId="77777777" w:rsidR="00A41CF9" w:rsidRPr="006623F6" w:rsidRDefault="00A41CF9" w:rsidP="00A41CF9">
      <w:pPr>
        <w:tabs>
          <w:tab w:val="left" w:pos="283"/>
          <w:tab w:val="left" w:pos="4365"/>
        </w:tabs>
        <w:autoSpaceDE w:val="0"/>
        <w:autoSpaceDN w:val="0"/>
        <w:adjustRightInd w:val="0"/>
        <w:ind w:left="113" w:right="114"/>
        <w:jc w:val="both"/>
      </w:pPr>
    </w:p>
    <w:p w14:paraId="6D2A4809" w14:textId="77777777" w:rsidR="00A41CF9" w:rsidRPr="0098464D" w:rsidRDefault="00A41CF9" w:rsidP="002228B1">
      <w:pPr>
        <w:numPr>
          <w:ilvl w:val="0"/>
          <w:numId w:val="9"/>
        </w:numPr>
        <w:tabs>
          <w:tab w:val="left" w:pos="284"/>
        </w:tabs>
        <w:autoSpaceDE w:val="0"/>
        <w:autoSpaceDN w:val="0"/>
        <w:adjustRightInd w:val="0"/>
        <w:ind w:left="284" w:right="114" w:hanging="284"/>
        <w:jc w:val="both"/>
      </w:pPr>
      <w:r>
        <w:rPr>
          <w:b/>
          <w:color w:val="000000"/>
        </w:rPr>
        <w:lastRenderedPageBreak/>
        <w:t>Политиката</w:t>
      </w:r>
      <w:r w:rsidRPr="00C82C77">
        <w:rPr>
          <w:b/>
          <w:color w:val="000000"/>
        </w:rPr>
        <w:t xml:space="preserve"> </w:t>
      </w:r>
      <w:r>
        <w:rPr>
          <w:b/>
          <w:color w:val="000000"/>
        </w:rPr>
        <w:t xml:space="preserve"> относно управление на финансовите ресурси на </w:t>
      </w:r>
      <w:r w:rsidR="004745F4" w:rsidRPr="00FD3526">
        <w:rPr>
          <w:color w:val="000000"/>
          <w:kern w:val="2"/>
        </w:rPr>
        <w:t>„</w:t>
      </w:r>
      <w:r w:rsidR="004745F4">
        <w:rPr>
          <w:color w:val="000000"/>
          <w:kern w:val="2"/>
        </w:rPr>
        <w:t xml:space="preserve">ДКЦ Чайка </w:t>
      </w:r>
      <w:r w:rsidR="004745F4" w:rsidRPr="00FD3526">
        <w:rPr>
          <w:color w:val="000000"/>
          <w:kern w:val="2"/>
        </w:rPr>
        <w:t xml:space="preserve">” </w:t>
      </w:r>
      <w:r w:rsidR="004745F4">
        <w:rPr>
          <w:color w:val="000000"/>
          <w:kern w:val="2"/>
        </w:rPr>
        <w:t>ЕОО</w:t>
      </w:r>
      <w:r w:rsidR="004745F4" w:rsidRPr="00FD3526">
        <w:rPr>
          <w:color w:val="000000"/>
          <w:kern w:val="2"/>
        </w:rPr>
        <w:t>Д</w:t>
      </w:r>
      <w:r w:rsidR="004745F4" w:rsidRPr="00A41CF9">
        <w:rPr>
          <w:b/>
          <w:color w:val="000000"/>
          <w:kern w:val="2"/>
        </w:rPr>
        <w:t xml:space="preserve"> </w:t>
      </w:r>
      <w:r w:rsidR="00E50CB3">
        <w:rPr>
          <w:b/>
          <w:color w:val="000000"/>
          <w:kern w:val="2"/>
        </w:rPr>
        <w:t xml:space="preserve"> </w:t>
      </w:r>
      <w:r w:rsidRPr="00C82C77">
        <w:rPr>
          <w:b/>
          <w:color w:val="000000"/>
        </w:rPr>
        <w:t>включва следните принципи:</w:t>
      </w:r>
    </w:p>
    <w:p w14:paraId="0A1A7FAD" w14:textId="77777777" w:rsidR="00A41CF9" w:rsidRPr="00A41CF9" w:rsidRDefault="00A41CF9" w:rsidP="000D4887">
      <w:pPr>
        <w:numPr>
          <w:ilvl w:val="0"/>
          <w:numId w:val="28"/>
        </w:numPr>
        <w:tabs>
          <w:tab w:val="left" w:pos="283"/>
          <w:tab w:val="left" w:pos="567"/>
        </w:tabs>
        <w:autoSpaceDE w:val="0"/>
        <w:autoSpaceDN w:val="0"/>
        <w:adjustRightInd w:val="0"/>
        <w:ind w:right="114"/>
        <w:jc w:val="both"/>
      </w:pPr>
      <w:r w:rsidRPr="00A41CF9">
        <w:t>стриктно спазване на действащото законодателство;</w:t>
      </w:r>
    </w:p>
    <w:p w14:paraId="35A0D3CF" w14:textId="77777777" w:rsidR="00A41CF9" w:rsidRPr="00A41CF9" w:rsidRDefault="00A41CF9" w:rsidP="000D4887">
      <w:pPr>
        <w:numPr>
          <w:ilvl w:val="0"/>
          <w:numId w:val="28"/>
        </w:numPr>
        <w:tabs>
          <w:tab w:val="left" w:pos="283"/>
          <w:tab w:val="left" w:pos="567"/>
        </w:tabs>
        <w:autoSpaceDE w:val="0"/>
        <w:autoSpaceDN w:val="0"/>
        <w:adjustRightInd w:val="0"/>
        <w:ind w:right="114"/>
        <w:jc w:val="both"/>
      </w:pPr>
      <w:r w:rsidRPr="00A41CF9">
        <w:t>мониторинг на ключови финансови показатели;</w:t>
      </w:r>
    </w:p>
    <w:p w14:paraId="75EA7C5F" w14:textId="77777777" w:rsidR="00A41CF9" w:rsidRPr="00A41CF9" w:rsidRDefault="00A41CF9" w:rsidP="000D4887">
      <w:pPr>
        <w:numPr>
          <w:ilvl w:val="0"/>
          <w:numId w:val="28"/>
        </w:numPr>
        <w:tabs>
          <w:tab w:val="left" w:pos="283"/>
          <w:tab w:val="left" w:pos="567"/>
        </w:tabs>
        <w:autoSpaceDE w:val="0"/>
        <w:autoSpaceDN w:val="0"/>
        <w:adjustRightInd w:val="0"/>
        <w:ind w:right="114"/>
        <w:jc w:val="both"/>
      </w:pPr>
      <w:r w:rsidRPr="00A41CF9">
        <w:t>обезпечаване на мениджмънта с финансово - счетоводна информация за вземане на решения;</w:t>
      </w:r>
    </w:p>
    <w:p w14:paraId="3FB22FFD" w14:textId="77777777" w:rsidR="00A41CF9" w:rsidRPr="00A41CF9" w:rsidRDefault="00A41CF9" w:rsidP="000D4887">
      <w:pPr>
        <w:numPr>
          <w:ilvl w:val="0"/>
          <w:numId w:val="28"/>
        </w:numPr>
        <w:tabs>
          <w:tab w:val="left" w:pos="283"/>
          <w:tab w:val="left" w:pos="567"/>
        </w:tabs>
        <w:autoSpaceDE w:val="0"/>
        <w:autoSpaceDN w:val="0"/>
        <w:adjustRightInd w:val="0"/>
        <w:ind w:right="114"/>
        <w:jc w:val="both"/>
      </w:pPr>
      <w:r w:rsidRPr="00A41CF9">
        <w:t>своевременно осигуряване на необходимите финансови ресурси за развитие на дружеството при възможно най-изгодни условия;</w:t>
      </w:r>
    </w:p>
    <w:p w14:paraId="31E7D0E8" w14:textId="77777777" w:rsidR="00A41CF9" w:rsidRPr="00A41CF9" w:rsidRDefault="00A41CF9" w:rsidP="000D4887">
      <w:pPr>
        <w:numPr>
          <w:ilvl w:val="0"/>
          <w:numId w:val="28"/>
        </w:numPr>
        <w:tabs>
          <w:tab w:val="left" w:pos="283"/>
          <w:tab w:val="left" w:pos="567"/>
        </w:tabs>
        <w:autoSpaceDE w:val="0"/>
        <w:autoSpaceDN w:val="0"/>
        <w:adjustRightInd w:val="0"/>
        <w:ind w:right="114"/>
        <w:jc w:val="both"/>
      </w:pPr>
      <w:r w:rsidRPr="00A41CF9">
        <w:t>ефективно инвестиране на разполагаемите ресурси (собствени и привлечени);</w:t>
      </w:r>
    </w:p>
    <w:p w14:paraId="25461F83" w14:textId="77777777" w:rsidR="00A41CF9" w:rsidRPr="00A41CF9" w:rsidRDefault="00A41CF9" w:rsidP="000D4887">
      <w:pPr>
        <w:numPr>
          <w:ilvl w:val="0"/>
          <w:numId w:val="28"/>
        </w:numPr>
        <w:tabs>
          <w:tab w:val="left" w:pos="283"/>
          <w:tab w:val="left" w:pos="567"/>
        </w:tabs>
        <w:autoSpaceDE w:val="0"/>
        <w:autoSpaceDN w:val="0"/>
        <w:adjustRightInd w:val="0"/>
        <w:ind w:right="114"/>
        <w:jc w:val="both"/>
      </w:pPr>
      <w:r w:rsidRPr="00A41CF9">
        <w:t>управление на капитала и активите на дружествата (включително и привлечените капитали);</w:t>
      </w:r>
    </w:p>
    <w:p w14:paraId="0E33A628" w14:textId="77777777" w:rsidR="00A41CF9" w:rsidRPr="00A41CF9" w:rsidRDefault="00A41CF9" w:rsidP="000D4887">
      <w:pPr>
        <w:numPr>
          <w:ilvl w:val="0"/>
          <w:numId w:val="28"/>
        </w:numPr>
        <w:tabs>
          <w:tab w:val="left" w:pos="283"/>
          <w:tab w:val="left" w:pos="567"/>
        </w:tabs>
        <w:autoSpaceDE w:val="0"/>
        <w:autoSpaceDN w:val="0"/>
        <w:adjustRightInd w:val="0"/>
        <w:ind w:right="114"/>
        <w:jc w:val="both"/>
      </w:pPr>
      <w:r w:rsidRPr="00A41CF9">
        <w:t>финансово обезпечаване на съхранението и просперитета на дружеството.</w:t>
      </w:r>
    </w:p>
    <w:p w14:paraId="6E79FD88" w14:textId="77777777" w:rsidR="00EC5CE2" w:rsidRDefault="00EC5CE2" w:rsidP="00A41CF9">
      <w:pPr>
        <w:tabs>
          <w:tab w:val="left" w:pos="283"/>
          <w:tab w:val="left" w:pos="4365"/>
        </w:tabs>
        <w:autoSpaceDE w:val="0"/>
        <w:autoSpaceDN w:val="0"/>
        <w:adjustRightInd w:val="0"/>
        <w:ind w:left="113" w:right="114"/>
        <w:jc w:val="both"/>
      </w:pPr>
    </w:p>
    <w:p w14:paraId="590042AA" w14:textId="77777777" w:rsidR="00EC5CE2" w:rsidRPr="005825A7" w:rsidRDefault="00EC5CE2" w:rsidP="002228B1">
      <w:pPr>
        <w:numPr>
          <w:ilvl w:val="0"/>
          <w:numId w:val="8"/>
        </w:numPr>
        <w:ind w:right="181"/>
        <w:jc w:val="both"/>
        <w:rPr>
          <w:rFonts w:cs="Arial"/>
          <w:b/>
          <w:bCs/>
          <w:i/>
          <w:iCs/>
          <w:color w:val="000000"/>
        </w:rPr>
      </w:pPr>
      <w:r w:rsidRPr="005825A7">
        <w:rPr>
          <w:rFonts w:cs="Arial"/>
          <w:b/>
          <w:bCs/>
          <w:i/>
          <w:iCs/>
          <w:color w:val="000000"/>
        </w:rPr>
        <w:t xml:space="preserve">Информация за </w:t>
      </w:r>
      <w:r w:rsidR="006E6FED">
        <w:rPr>
          <w:rFonts w:cs="Arial"/>
          <w:b/>
          <w:bCs/>
          <w:i/>
          <w:iCs/>
          <w:color w:val="000000"/>
        </w:rPr>
        <w:t>задълженията</w:t>
      </w:r>
      <w:r>
        <w:rPr>
          <w:rFonts w:cs="Arial"/>
          <w:b/>
          <w:bCs/>
          <w:i/>
          <w:iCs/>
          <w:color w:val="000000"/>
        </w:rPr>
        <w:t xml:space="preserve"> на </w:t>
      </w:r>
      <w:r w:rsidR="004745F4" w:rsidRPr="00FD3526">
        <w:rPr>
          <w:color w:val="000000"/>
          <w:kern w:val="2"/>
        </w:rPr>
        <w:t>„</w:t>
      </w:r>
      <w:r w:rsidR="004745F4">
        <w:rPr>
          <w:color w:val="000000"/>
          <w:kern w:val="2"/>
        </w:rPr>
        <w:t xml:space="preserve">ДКЦ Чайка </w:t>
      </w:r>
      <w:r w:rsidR="004745F4" w:rsidRPr="00FD3526">
        <w:rPr>
          <w:color w:val="000000"/>
          <w:kern w:val="2"/>
        </w:rPr>
        <w:t xml:space="preserve">” </w:t>
      </w:r>
      <w:r w:rsidR="004745F4">
        <w:rPr>
          <w:color w:val="000000"/>
          <w:kern w:val="2"/>
        </w:rPr>
        <w:t>ЕОО</w:t>
      </w:r>
      <w:r w:rsidR="004745F4" w:rsidRPr="00FD3526">
        <w:rPr>
          <w:color w:val="000000"/>
          <w:kern w:val="2"/>
        </w:rPr>
        <w:t>Д</w:t>
      </w:r>
      <w:r w:rsidR="004745F4">
        <w:rPr>
          <w:rFonts w:cs="Arial"/>
          <w:b/>
          <w:bCs/>
          <w:i/>
          <w:iCs/>
          <w:color w:val="000000"/>
        </w:rPr>
        <w:t xml:space="preserve"> </w:t>
      </w:r>
      <w:r w:rsidR="00E50CB3">
        <w:rPr>
          <w:rFonts w:cs="Arial"/>
          <w:b/>
          <w:bCs/>
          <w:i/>
          <w:iCs/>
          <w:color w:val="000000"/>
        </w:rPr>
        <w:t xml:space="preserve"> </w:t>
      </w:r>
      <w:r w:rsidR="006E6FED">
        <w:rPr>
          <w:rFonts w:cs="Arial"/>
          <w:b/>
          <w:bCs/>
          <w:i/>
          <w:iCs/>
          <w:color w:val="000000"/>
        </w:rPr>
        <w:t>и възможностите за тяхното обслужване</w:t>
      </w:r>
      <w:r w:rsidRPr="005825A7">
        <w:rPr>
          <w:rFonts w:cs="Arial"/>
          <w:b/>
          <w:bCs/>
          <w:i/>
          <w:iCs/>
          <w:color w:val="000000"/>
        </w:rPr>
        <w:t>:</w:t>
      </w:r>
    </w:p>
    <w:p w14:paraId="7A0A6220" w14:textId="77777777" w:rsidR="00EC5CE2" w:rsidRPr="006623F6" w:rsidRDefault="00EC5CE2" w:rsidP="00A41CF9">
      <w:pPr>
        <w:tabs>
          <w:tab w:val="left" w:pos="283"/>
          <w:tab w:val="left" w:pos="4365"/>
        </w:tabs>
        <w:autoSpaceDE w:val="0"/>
        <w:autoSpaceDN w:val="0"/>
        <w:adjustRightInd w:val="0"/>
        <w:ind w:left="113" w:right="114"/>
        <w:jc w:val="both"/>
      </w:pPr>
    </w:p>
    <w:p w14:paraId="2CB9C50C" w14:textId="0C9F3B1D" w:rsidR="00A906BD" w:rsidRDefault="0083168E" w:rsidP="00A41CF9">
      <w:pPr>
        <w:tabs>
          <w:tab w:val="left" w:pos="0"/>
        </w:tabs>
        <w:ind w:right="114"/>
        <w:jc w:val="both"/>
      </w:pPr>
      <w:r w:rsidRPr="006623F6">
        <w:t xml:space="preserve"> </w:t>
      </w:r>
      <w:r w:rsidRPr="00FD3526">
        <w:rPr>
          <w:color w:val="000000"/>
          <w:kern w:val="2"/>
        </w:rPr>
        <w:t>„</w:t>
      </w:r>
      <w:r w:rsidR="004745F4">
        <w:rPr>
          <w:color w:val="000000"/>
          <w:kern w:val="2"/>
        </w:rPr>
        <w:t xml:space="preserve">ДКЦ Чайка </w:t>
      </w:r>
      <w:r w:rsidR="004745F4" w:rsidRPr="00FD3526">
        <w:rPr>
          <w:color w:val="000000"/>
          <w:kern w:val="2"/>
        </w:rPr>
        <w:t xml:space="preserve">” </w:t>
      </w:r>
      <w:r w:rsidR="004745F4">
        <w:rPr>
          <w:color w:val="000000"/>
          <w:kern w:val="2"/>
        </w:rPr>
        <w:t>ЕОО</w:t>
      </w:r>
      <w:r w:rsidR="004745F4" w:rsidRPr="00FD3526">
        <w:rPr>
          <w:color w:val="000000"/>
          <w:kern w:val="2"/>
        </w:rPr>
        <w:t>Д</w:t>
      </w:r>
      <w:r>
        <w:rPr>
          <w:color w:val="000000"/>
          <w:kern w:val="2"/>
        </w:rPr>
        <w:t xml:space="preserve"> има следните задълж</w:t>
      </w:r>
      <w:r w:rsidR="004745F4">
        <w:rPr>
          <w:color w:val="000000"/>
          <w:kern w:val="2"/>
        </w:rPr>
        <w:t>е</w:t>
      </w:r>
      <w:r>
        <w:rPr>
          <w:color w:val="000000"/>
          <w:kern w:val="2"/>
        </w:rPr>
        <w:t>ния:</w:t>
      </w:r>
    </w:p>
    <w:tbl>
      <w:tblPr>
        <w:tblW w:w="0" w:type="auto"/>
        <w:jc w:val="center"/>
        <w:tblBorders>
          <w:top w:val="double" w:sz="4" w:space="0" w:color="E36C0A"/>
          <w:left w:val="double" w:sz="4" w:space="0" w:color="E36C0A"/>
          <w:bottom w:val="double" w:sz="4" w:space="0" w:color="E36C0A"/>
          <w:right w:val="double" w:sz="4" w:space="0" w:color="E36C0A"/>
          <w:insideH w:val="double" w:sz="4" w:space="0" w:color="E36C0A"/>
          <w:insideV w:val="double" w:sz="4" w:space="0" w:color="E36C0A"/>
        </w:tblBorders>
        <w:tblLayout w:type="fixed"/>
        <w:tblLook w:val="0000" w:firstRow="0" w:lastRow="0" w:firstColumn="0" w:lastColumn="0" w:noHBand="0" w:noVBand="0"/>
      </w:tblPr>
      <w:tblGrid>
        <w:gridCol w:w="3247"/>
        <w:gridCol w:w="1416"/>
        <w:gridCol w:w="2329"/>
        <w:gridCol w:w="1698"/>
      </w:tblGrid>
      <w:tr w:rsidR="006E6FED" w:rsidRPr="00587A90" w14:paraId="122F8231" w14:textId="77777777" w:rsidTr="00BF44B5">
        <w:trPr>
          <w:jc w:val="center"/>
        </w:trPr>
        <w:tc>
          <w:tcPr>
            <w:tcW w:w="3247" w:type="dxa"/>
            <w:shd w:val="clear" w:color="auto" w:fill="E36C0A"/>
            <w:vAlign w:val="center"/>
          </w:tcPr>
          <w:p w14:paraId="6DC91F38" w14:textId="77777777" w:rsidR="006E6FED" w:rsidRPr="00F51E2A" w:rsidRDefault="006E6FED" w:rsidP="006D7E9F">
            <w:pPr>
              <w:pStyle w:val="Heading7"/>
              <w:spacing w:before="0" w:after="0"/>
              <w:jc w:val="center"/>
              <w:rPr>
                <w:b/>
                <w:bCs/>
                <w:i/>
                <w:color w:val="FFFFFF"/>
                <w:sz w:val="22"/>
                <w:szCs w:val="22"/>
              </w:rPr>
            </w:pPr>
            <w:r w:rsidRPr="00F51E2A">
              <w:rPr>
                <w:b/>
                <w:bCs/>
                <w:i/>
                <w:color w:val="FFFFFF"/>
                <w:sz w:val="22"/>
                <w:szCs w:val="22"/>
              </w:rPr>
              <w:t>Вид</w:t>
            </w:r>
          </w:p>
        </w:tc>
        <w:tc>
          <w:tcPr>
            <w:tcW w:w="1416" w:type="dxa"/>
            <w:shd w:val="clear" w:color="auto" w:fill="E36C0A"/>
            <w:vAlign w:val="center"/>
          </w:tcPr>
          <w:p w14:paraId="57BF9A95" w14:textId="77777777" w:rsidR="006E6FED" w:rsidRPr="00F51E2A" w:rsidRDefault="006E6FED" w:rsidP="006D7E9F">
            <w:pPr>
              <w:pStyle w:val="Heading7"/>
              <w:spacing w:before="0" w:after="0"/>
              <w:jc w:val="center"/>
              <w:rPr>
                <w:b/>
                <w:bCs/>
                <w:i/>
                <w:color w:val="FFFFFF"/>
                <w:sz w:val="22"/>
                <w:szCs w:val="22"/>
              </w:rPr>
            </w:pPr>
            <w:r w:rsidRPr="00F51E2A">
              <w:rPr>
                <w:b/>
                <w:bCs/>
                <w:i/>
                <w:color w:val="FFFFFF"/>
                <w:sz w:val="22"/>
                <w:szCs w:val="22"/>
              </w:rPr>
              <w:t>Стойност</w:t>
            </w:r>
            <w:r w:rsidR="005A2A0F">
              <w:rPr>
                <w:b/>
                <w:bCs/>
                <w:i/>
                <w:color w:val="FFFFFF"/>
                <w:sz w:val="22"/>
                <w:szCs w:val="22"/>
              </w:rPr>
              <w:t>/хил.лв</w:t>
            </w:r>
          </w:p>
        </w:tc>
        <w:tc>
          <w:tcPr>
            <w:tcW w:w="2329" w:type="dxa"/>
            <w:shd w:val="clear" w:color="auto" w:fill="E36C0A"/>
            <w:vAlign w:val="center"/>
          </w:tcPr>
          <w:p w14:paraId="6C9A2E0D" w14:textId="77777777" w:rsidR="006E6FED" w:rsidRPr="00F51E2A" w:rsidRDefault="006E6FED" w:rsidP="006D7E9F">
            <w:pPr>
              <w:pStyle w:val="Heading7"/>
              <w:spacing w:before="0" w:after="0"/>
              <w:jc w:val="center"/>
              <w:rPr>
                <w:b/>
                <w:bCs/>
                <w:i/>
                <w:color w:val="FFFFFF"/>
                <w:sz w:val="22"/>
                <w:szCs w:val="22"/>
              </w:rPr>
            </w:pPr>
            <w:r w:rsidRPr="00F51E2A">
              <w:rPr>
                <w:b/>
                <w:bCs/>
                <w:i/>
                <w:color w:val="FFFFFF"/>
                <w:sz w:val="22"/>
                <w:szCs w:val="22"/>
              </w:rPr>
              <w:t>Основание</w:t>
            </w:r>
          </w:p>
        </w:tc>
        <w:tc>
          <w:tcPr>
            <w:tcW w:w="1698" w:type="dxa"/>
            <w:shd w:val="clear" w:color="auto" w:fill="E36C0A"/>
            <w:vAlign w:val="center"/>
          </w:tcPr>
          <w:p w14:paraId="71E5A673" w14:textId="77777777" w:rsidR="006E6FED" w:rsidRPr="00F51E2A" w:rsidRDefault="006E6FED" w:rsidP="006D7E9F">
            <w:pPr>
              <w:pStyle w:val="Heading7"/>
              <w:spacing w:before="0" w:after="0"/>
              <w:jc w:val="center"/>
              <w:rPr>
                <w:b/>
                <w:bCs/>
                <w:i/>
                <w:color w:val="FFFFFF"/>
                <w:sz w:val="22"/>
                <w:szCs w:val="22"/>
              </w:rPr>
            </w:pPr>
            <w:r w:rsidRPr="00F51E2A">
              <w:rPr>
                <w:b/>
                <w:bCs/>
                <w:i/>
                <w:color w:val="FFFFFF"/>
                <w:sz w:val="22"/>
                <w:szCs w:val="22"/>
              </w:rPr>
              <w:t>Срок на погасяване</w:t>
            </w:r>
          </w:p>
        </w:tc>
      </w:tr>
      <w:tr w:rsidR="006E6FED" w:rsidRPr="005825A7" w14:paraId="0EAE05A4" w14:textId="77777777" w:rsidTr="00BF44B5">
        <w:trPr>
          <w:jc w:val="center"/>
        </w:trPr>
        <w:tc>
          <w:tcPr>
            <w:tcW w:w="3247" w:type="dxa"/>
          </w:tcPr>
          <w:p w14:paraId="30A17426" w14:textId="0482CEC6" w:rsidR="006E6FED" w:rsidRPr="005A2A0F" w:rsidRDefault="009F2F77" w:rsidP="006D7E9F">
            <w:pPr>
              <w:pStyle w:val="Heading7"/>
              <w:spacing w:before="0" w:after="0"/>
              <w:rPr>
                <w:sz w:val="22"/>
                <w:szCs w:val="22"/>
              </w:rPr>
            </w:pPr>
            <w:r>
              <w:rPr>
                <w:sz w:val="22"/>
                <w:szCs w:val="22"/>
              </w:rPr>
              <w:t>1</w:t>
            </w:r>
            <w:r w:rsidR="005A2A0F">
              <w:rPr>
                <w:sz w:val="22"/>
                <w:szCs w:val="22"/>
              </w:rPr>
              <w:t>.Към Доставчици</w:t>
            </w:r>
          </w:p>
        </w:tc>
        <w:tc>
          <w:tcPr>
            <w:tcW w:w="1416" w:type="dxa"/>
            <w:vAlign w:val="center"/>
          </w:tcPr>
          <w:p w14:paraId="3CF1A53B" w14:textId="4E20A099" w:rsidR="006E6FED" w:rsidRPr="005A2A0F" w:rsidRDefault="009F2F77" w:rsidP="00A906BD">
            <w:pPr>
              <w:pStyle w:val="Heading7"/>
              <w:spacing w:before="0" w:after="0"/>
              <w:jc w:val="center"/>
              <w:rPr>
                <w:sz w:val="22"/>
                <w:szCs w:val="22"/>
              </w:rPr>
            </w:pPr>
            <w:r>
              <w:rPr>
                <w:sz w:val="22"/>
                <w:szCs w:val="22"/>
              </w:rPr>
              <w:t>40</w:t>
            </w:r>
          </w:p>
        </w:tc>
        <w:tc>
          <w:tcPr>
            <w:tcW w:w="2329" w:type="dxa"/>
            <w:vAlign w:val="center"/>
          </w:tcPr>
          <w:p w14:paraId="1D5C9098" w14:textId="77777777" w:rsidR="006E6FED" w:rsidRPr="005A2A0F" w:rsidRDefault="005A2A0F" w:rsidP="006D7E9F">
            <w:pPr>
              <w:pStyle w:val="Heading7"/>
              <w:spacing w:before="0" w:after="0"/>
              <w:jc w:val="center"/>
              <w:rPr>
                <w:sz w:val="22"/>
                <w:szCs w:val="22"/>
              </w:rPr>
            </w:pPr>
            <w:r>
              <w:rPr>
                <w:sz w:val="22"/>
                <w:szCs w:val="22"/>
              </w:rPr>
              <w:t>Доставка на материали и услуги</w:t>
            </w:r>
          </w:p>
        </w:tc>
        <w:tc>
          <w:tcPr>
            <w:tcW w:w="1698" w:type="dxa"/>
          </w:tcPr>
          <w:p w14:paraId="0323C7A0" w14:textId="77777777" w:rsidR="006E6FED" w:rsidRPr="00F51E2A" w:rsidRDefault="005A2A0F" w:rsidP="006D7E9F">
            <w:pPr>
              <w:pStyle w:val="Heading7"/>
              <w:spacing w:before="0" w:after="0"/>
              <w:rPr>
                <w:sz w:val="22"/>
                <w:szCs w:val="22"/>
                <w:lang w:val="en-US"/>
              </w:rPr>
            </w:pPr>
            <w:r>
              <w:rPr>
                <w:sz w:val="22"/>
                <w:szCs w:val="22"/>
              </w:rPr>
              <w:t>До 1 година</w:t>
            </w:r>
          </w:p>
        </w:tc>
      </w:tr>
      <w:tr w:rsidR="005A2A0F" w:rsidRPr="005825A7" w14:paraId="73ADDB8B" w14:textId="77777777" w:rsidTr="00BF44B5">
        <w:trPr>
          <w:jc w:val="center"/>
        </w:trPr>
        <w:tc>
          <w:tcPr>
            <w:tcW w:w="3247" w:type="dxa"/>
          </w:tcPr>
          <w:p w14:paraId="451B271E" w14:textId="583AECA7" w:rsidR="005A2A0F" w:rsidRDefault="00CD56E5" w:rsidP="005D40A9">
            <w:pPr>
              <w:pStyle w:val="Heading7"/>
              <w:spacing w:before="0" w:after="0"/>
              <w:rPr>
                <w:sz w:val="22"/>
                <w:szCs w:val="22"/>
              </w:rPr>
            </w:pPr>
            <w:r>
              <w:rPr>
                <w:sz w:val="22"/>
                <w:szCs w:val="22"/>
              </w:rPr>
              <w:t>2</w:t>
            </w:r>
            <w:r w:rsidR="005A2A0F">
              <w:rPr>
                <w:sz w:val="22"/>
                <w:szCs w:val="22"/>
              </w:rPr>
              <w:t>.Към персонала</w:t>
            </w:r>
          </w:p>
        </w:tc>
        <w:tc>
          <w:tcPr>
            <w:tcW w:w="1416" w:type="dxa"/>
            <w:vAlign w:val="center"/>
          </w:tcPr>
          <w:p w14:paraId="3DB87FC4" w14:textId="62BF7482" w:rsidR="005A2A0F" w:rsidRDefault="00ED2729" w:rsidP="005A2A0F">
            <w:pPr>
              <w:pStyle w:val="Heading7"/>
              <w:spacing w:before="0" w:after="0"/>
              <w:jc w:val="center"/>
              <w:rPr>
                <w:sz w:val="22"/>
                <w:szCs w:val="22"/>
              </w:rPr>
            </w:pPr>
            <w:r>
              <w:rPr>
                <w:sz w:val="22"/>
                <w:szCs w:val="22"/>
              </w:rPr>
              <w:t>111</w:t>
            </w:r>
          </w:p>
        </w:tc>
        <w:tc>
          <w:tcPr>
            <w:tcW w:w="2329" w:type="dxa"/>
            <w:vAlign w:val="center"/>
          </w:tcPr>
          <w:p w14:paraId="6A0A622F" w14:textId="77777777" w:rsidR="005A2A0F" w:rsidRDefault="005A2A0F" w:rsidP="005D40A9">
            <w:pPr>
              <w:pStyle w:val="Heading7"/>
              <w:spacing w:before="0" w:after="0"/>
              <w:jc w:val="center"/>
              <w:rPr>
                <w:sz w:val="22"/>
                <w:szCs w:val="22"/>
              </w:rPr>
            </w:pPr>
            <w:r>
              <w:rPr>
                <w:sz w:val="22"/>
                <w:szCs w:val="22"/>
              </w:rPr>
              <w:t>Възнаграждения</w:t>
            </w:r>
          </w:p>
        </w:tc>
        <w:tc>
          <w:tcPr>
            <w:tcW w:w="1698" w:type="dxa"/>
          </w:tcPr>
          <w:p w14:paraId="2B659911" w14:textId="77777777" w:rsidR="005A2A0F" w:rsidRDefault="005A2A0F" w:rsidP="005D40A9">
            <w:pPr>
              <w:pStyle w:val="Heading7"/>
              <w:spacing w:before="0" w:after="0"/>
              <w:rPr>
                <w:sz w:val="22"/>
                <w:szCs w:val="22"/>
              </w:rPr>
            </w:pPr>
            <w:r>
              <w:rPr>
                <w:sz w:val="22"/>
                <w:szCs w:val="22"/>
              </w:rPr>
              <w:t>До 1 година</w:t>
            </w:r>
          </w:p>
        </w:tc>
      </w:tr>
      <w:tr w:rsidR="005A2A0F" w:rsidRPr="005825A7" w14:paraId="07958D4D" w14:textId="77777777" w:rsidTr="00BF44B5">
        <w:trPr>
          <w:jc w:val="center"/>
        </w:trPr>
        <w:tc>
          <w:tcPr>
            <w:tcW w:w="3247" w:type="dxa"/>
          </w:tcPr>
          <w:p w14:paraId="6FCC5070" w14:textId="733466CA" w:rsidR="005A2A0F" w:rsidRPr="002D32DE" w:rsidRDefault="00CD56E5" w:rsidP="006B5918">
            <w:pPr>
              <w:pStyle w:val="Heading7"/>
              <w:spacing w:before="0" w:after="0"/>
              <w:rPr>
                <w:sz w:val="22"/>
                <w:szCs w:val="22"/>
              </w:rPr>
            </w:pPr>
            <w:r>
              <w:rPr>
                <w:sz w:val="22"/>
                <w:szCs w:val="22"/>
              </w:rPr>
              <w:t>3</w:t>
            </w:r>
            <w:r w:rsidR="005A2A0F">
              <w:rPr>
                <w:sz w:val="22"/>
                <w:szCs w:val="22"/>
              </w:rPr>
              <w:t>.Осигурителни</w:t>
            </w:r>
            <w:r w:rsidR="006B5918">
              <w:rPr>
                <w:sz w:val="22"/>
                <w:szCs w:val="22"/>
              </w:rPr>
              <w:t>,</w:t>
            </w:r>
            <w:r w:rsidR="005A2A0F">
              <w:rPr>
                <w:sz w:val="22"/>
                <w:szCs w:val="22"/>
              </w:rPr>
              <w:t xml:space="preserve"> данъчни </w:t>
            </w:r>
            <w:r w:rsidR="006B5918">
              <w:rPr>
                <w:sz w:val="22"/>
                <w:szCs w:val="22"/>
              </w:rPr>
              <w:t xml:space="preserve"> и др.</w:t>
            </w:r>
          </w:p>
        </w:tc>
        <w:tc>
          <w:tcPr>
            <w:tcW w:w="1416" w:type="dxa"/>
            <w:vAlign w:val="center"/>
          </w:tcPr>
          <w:p w14:paraId="0C36DD17" w14:textId="3EF91F00" w:rsidR="005A2A0F" w:rsidRPr="002D32DE" w:rsidRDefault="009F2F77" w:rsidP="005A2A0F">
            <w:pPr>
              <w:pStyle w:val="Heading7"/>
              <w:spacing w:before="0" w:after="0"/>
              <w:jc w:val="center"/>
              <w:rPr>
                <w:sz w:val="22"/>
                <w:szCs w:val="22"/>
              </w:rPr>
            </w:pPr>
            <w:r>
              <w:rPr>
                <w:sz w:val="22"/>
                <w:szCs w:val="22"/>
              </w:rPr>
              <w:t>62</w:t>
            </w:r>
          </w:p>
        </w:tc>
        <w:tc>
          <w:tcPr>
            <w:tcW w:w="2329" w:type="dxa"/>
            <w:vAlign w:val="center"/>
          </w:tcPr>
          <w:p w14:paraId="2FCC6D55" w14:textId="77777777" w:rsidR="005A2A0F" w:rsidRPr="002D32DE" w:rsidRDefault="005A2A0F" w:rsidP="005D40A9">
            <w:pPr>
              <w:pStyle w:val="Heading7"/>
              <w:spacing w:before="0" w:after="0"/>
              <w:jc w:val="center"/>
              <w:rPr>
                <w:sz w:val="22"/>
                <w:szCs w:val="22"/>
              </w:rPr>
            </w:pPr>
            <w:r>
              <w:rPr>
                <w:sz w:val="22"/>
                <w:szCs w:val="22"/>
              </w:rPr>
              <w:t>Осигурителни и данъчни задължения</w:t>
            </w:r>
          </w:p>
        </w:tc>
        <w:tc>
          <w:tcPr>
            <w:tcW w:w="1698" w:type="dxa"/>
          </w:tcPr>
          <w:p w14:paraId="508B35A3" w14:textId="77777777" w:rsidR="005A2A0F" w:rsidRPr="002D32DE" w:rsidRDefault="005A2A0F" w:rsidP="005D40A9">
            <w:pPr>
              <w:pStyle w:val="Heading7"/>
              <w:spacing w:before="0" w:after="0"/>
              <w:rPr>
                <w:sz w:val="22"/>
                <w:szCs w:val="22"/>
              </w:rPr>
            </w:pPr>
            <w:r>
              <w:rPr>
                <w:sz w:val="22"/>
                <w:szCs w:val="22"/>
              </w:rPr>
              <w:t xml:space="preserve"> До 1 година</w:t>
            </w:r>
          </w:p>
        </w:tc>
      </w:tr>
      <w:tr w:rsidR="00CD56E5" w:rsidRPr="005825A7" w14:paraId="46B0A397" w14:textId="77777777" w:rsidTr="00BF44B5">
        <w:trPr>
          <w:jc w:val="center"/>
        </w:trPr>
        <w:tc>
          <w:tcPr>
            <w:tcW w:w="3247" w:type="dxa"/>
          </w:tcPr>
          <w:p w14:paraId="60BD2374" w14:textId="26C0FEDF" w:rsidR="00CD56E5" w:rsidRDefault="00CD56E5" w:rsidP="006B5918">
            <w:pPr>
              <w:pStyle w:val="Heading7"/>
              <w:spacing w:before="0" w:after="0"/>
              <w:rPr>
                <w:sz w:val="22"/>
                <w:szCs w:val="22"/>
              </w:rPr>
            </w:pPr>
            <w:r>
              <w:rPr>
                <w:sz w:val="22"/>
                <w:szCs w:val="22"/>
              </w:rPr>
              <w:t>4.Други</w:t>
            </w:r>
          </w:p>
        </w:tc>
        <w:tc>
          <w:tcPr>
            <w:tcW w:w="1416" w:type="dxa"/>
            <w:vAlign w:val="center"/>
          </w:tcPr>
          <w:p w14:paraId="53060B08" w14:textId="54FE84B5" w:rsidR="00CD56E5" w:rsidRDefault="00CD56E5" w:rsidP="005A2A0F">
            <w:pPr>
              <w:pStyle w:val="Heading7"/>
              <w:spacing w:before="0" w:after="0"/>
              <w:jc w:val="center"/>
              <w:rPr>
                <w:sz w:val="22"/>
                <w:szCs w:val="22"/>
              </w:rPr>
            </w:pPr>
            <w:r>
              <w:rPr>
                <w:sz w:val="22"/>
                <w:szCs w:val="22"/>
              </w:rPr>
              <w:t>8</w:t>
            </w:r>
          </w:p>
        </w:tc>
        <w:tc>
          <w:tcPr>
            <w:tcW w:w="2329" w:type="dxa"/>
            <w:vAlign w:val="center"/>
          </w:tcPr>
          <w:p w14:paraId="29E20F58" w14:textId="089CBC4F" w:rsidR="00CD56E5" w:rsidRDefault="00CD56E5" w:rsidP="005D40A9">
            <w:pPr>
              <w:pStyle w:val="Heading7"/>
              <w:spacing w:before="0" w:after="0"/>
              <w:jc w:val="center"/>
              <w:rPr>
                <w:sz w:val="22"/>
                <w:szCs w:val="22"/>
              </w:rPr>
            </w:pPr>
            <w:r>
              <w:rPr>
                <w:sz w:val="22"/>
                <w:szCs w:val="22"/>
              </w:rPr>
              <w:t>Депозити</w:t>
            </w:r>
          </w:p>
        </w:tc>
        <w:tc>
          <w:tcPr>
            <w:tcW w:w="1698" w:type="dxa"/>
          </w:tcPr>
          <w:p w14:paraId="607369D9" w14:textId="77777777" w:rsidR="00CD56E5" w:rsidRDefault="00CD56E5" w:rsidP="005D40A9">
            <w:pPr>
              <w:pStyle w:val="Heading7"/>
              <w:spacing w:before="0" w:after="0"/>
              <w:rPr>
                <w:sz w:val="22"/>
                <w:szCs w:val="22"/>
              </w:rPr>
            </w:pPr>
          </w:p>
        </w:tc>
      </w:tr>
    </w:tbl>
    <w:p w14:paraId="0F5A89B5" w14:textId="77777777" w:rsidR="006E6FED" w:rsidRDefault="006E6FED" w:rsidP="004D6C21">
      <w:pPr>
        <w:jc w:val="both"/>
        <w:rPr>
          <w:rFonts w:eastAsia="Times New Roman" w:cs="Calibri"/>
          <w:b/>
          <w:lang w:eastAsia="bg-BG"/>
        </w:rPr>
      </w:pPr>
    </w:p>
    <w:p w14:paraId="1F61AA37" w14:textId="4C972772" w:rsidR="006E6FED" w:rsidRDefault="002D32DE" w:rsidP="004D6C21">
      <w:pPr>
        <w:jc w:val="both"/>
        <w:rPr>
          <w:color w:val="000000"/>
          <w:kern w:val="2"/>
        </w:rPr>
      </w:pPr>
      <w:r w:rsidRPr="00FD3526">
        <w:rPr>
          <w:color w:val="000000"/>
          <w:kern w:val="2"/>
        </w:rPr>
        <w:t>„</w:t>
      </w:r>
      <w:r>
        <w:rPr>
          <w:color w:val="000000"/>
          <w:kern w:val="2"/>
        </w:rPr>
        <w:t xml:space="preserve">ДКЦ Чайка </w:t>
      </w:r>
      <w:r w:rsidRPr="00FD3526">
        <w:rPr>
          <w:color w:val="000000"/>
          <w:kern w:val="2"/>
        </w:rPr>
        <w:t xml:space="preserve">” </w:t>
      </w:r>
      <w:r>
        <w:rPr>
          <w:color w:val="000000"/>
          <w:kern w:val="2"/>
        </w:rPr>
        <w:t>ЕОО</w:t>
      </w:r>
      <w:r w:rsidRPr="00FD3526">
        <w:rPr>
          <w:color w:val="000000"/>
          <w:kern w:val="2"/>
        </w:rPr>
        <w:t>Д</w:t>
      </w:r>
      <w:r w:rsidR="00E50CB3">
        <w:rPr>
          <w:color w:val="000000"/>
          <w:kern w:val="2"/>
        </w:rPr>
        <w:t xml:space="preserve"> </w:t>
      </w:r>
      <w:r w:rsidR="006E6FED">
        <w:rPr>
          <w:color w:val="000000"/>
          <w:kern w:val="2"/>
        </w:rPr>
        <w:t>има следните възможности за тяхното покриване:</w:t>
      </w:r>
    </w:p>
    <w:p w14:paraId="00CBC212" w14:textId="77777777" w:rsidR="006E6FED" w:rsidRDefault="006B5918" w:rsidP="004D6C21">
      <w:pPr>
        <w:jc w:val="both"/>
        <w:rPr>
          <w:rFonts w:eastAsia="Times New Roman" w:cs="Calibri"/>
          <w:b/>
          <w:lang w:eastAsia="bg-BG"/>
        </w:rPr>
      </w:pPr>
      <w:r>
        <w:rPr>
          <w:rFonts w:eastAsia="Times New Roman" w:cs="Calibri"/>
          <w:b/>
          <w:lang w:eastAsia="bg-BG"/>
        </w:rPr>
        <w:t xml:space="preserve">                                                                                                                                                                         /хил.лв/</w:t>
      </w:r>
    </w:p>
    <w:tbl>
      <w:tblPr>
        <w:tblW w:w="0" w:type="auto"/>
        <w:jc w:val="center"/>
        <w:tblBorders>
          <w:top w:val="double" w:sz="4" w:space="0" w:color="E36C0A"/>
          <w:left w:val="double" w:sz="4" w:space="0" w:color="E36C0A"/>
          <w:bottom w:val="double" w:sz="4" w:space="0" w:color="E36C0A"/>
          <w:right w:val="double" w:sz="4" w:space="0" w:color="E36C0A"/>
          <w:insideH w:val="double" w:sz="4" w:space="0" w:color="E36C0A"/>
          <w:insideV w:val="double" w:sz="4" w:space="0" w:color="E36C0A"/>
        </w:tblBorders>
        <w:tblLook w:val="0000" w:firstRow="0" w:lastRow="0" w:firstColumn="0" w:lastColumn="0" w:noHBand="0" w:noVBand="0"/>
      </w:tblPr>
      <w:tblGrid>
        <w:gridCol w:w="2439"/>
        <w:gridCol w:w="2263"/>
        <w:gridCol w:w="2248"/>
        <w:gridCol w:w="2270"/>
      </w:tblGrid>
      <w:tr w:rsidR="006E6FED" w:rsidRPr="00F51E2A" w14:paraId="255E7942" w14:textId="77777777" w:rsidTr="002228B1">
        <w:trPr>
          <w:jc w:val="center"/>
        </w:trPr>
        <w:tc>
          <w:tcPr>
            <w:tcW w:w="2439" w:type="dxa"/>
            <w:shd w:val="clear" w:color="auto" w:fill="E36C0A"/>
            <w:vAlign w:val="center"/>
          </w:tcPr>
          <w:p w14:paraId="23E0E7F6" w14:textId="77777777" w:rsidR="006E6FED" w:rsidRPr="00F51E2A" w:rsidRDefault="006E6FED" w:rsidP="00671A32">
            <w:pPr>
              <w:pStyle w:val="Heading7"/>
              <w:spacing w:before="0" w:after="0"/>
              <w:jc w:val="center"/>
              <w:rPr>
                <w:b/>
                <w:bCs/>
                <w:i/>
                <w:color w:val="FFFFFF"/>
                <w:sz w:val="22"/>
                <w:szCs w:val="22"/>
              </w:rPr>
            </w:pPr>
            <w:r>
              <w:rPr>
                <w:b/>
                <w:bCs/>
                <w:i/>
                <w:color w:val="FFFFFF"/>
                <w:sz w:val="22"/>
                <w:szCs w:val="22"/>
              </w:rPr>
              <w:t>Стойност на вземанията</w:t>
            </w:r>
          </w:p>
        </w:tc>
        <w:tc>
          <w:tcPr>
            <w:tcW w:w="2263" w:type="dxa"/>
            <w:shd w:val="clear" w:color="auto" w:fill="E36C0A"/>
            <w:vAlign w:val="center"/>
          </w:tcPr>
          <w:p w14:paraId="062F7D6C" w14:textId="77777777" w:rsidR="006E6FED" w:rsidRPr="00F51E2A" w:rsidRDefault="006E6FED" w:rsidP="00671A32">
            <w:pPr>
              <w:pStyle w:val="Heading7"/>
              <w:spacing w:before="0" w:after="0"/>
              <w:jc w:val="center"/>
              <w:rPr>
                <w:b/>
                <w:bCs/>
                <w:i/>
                <w:color w:val="FFFFFF"/>
                <w:sz w:val="22"/>
                <w:szCs w:val="22"/>
              </w:rPr>
            </w:pPr>
            <w:r>
              <w:rPr>
                <w:b/>
                <w:bCs/>
                <w:i/>
                <w:color w:val="FFFFFF"/>
                <w:sz w:val="22"/>
                <w:szCs w:val="22"/>
              </w:rPr>
              <w:t>Стойност на паричните средства</w:t>
            </w:r>
          </w:p>
        </w:tc>
        <w:tc>
          <w:tcPr>
            <w:tcW w:w="2248" w:type="dxa"/>
            <w:shd w:val="clear" w:color="auto" w:fill="E36C0A"/>
            <w:vAlign w:val="center"/>
          </w:tcPr>
          <w:p w14:paraId="66EB47ED" w14:textId="77777777" w:rsidR="006E6FED" w:rsidRPr="00F51E2A" w:rsidRDefault="006E6FED" w:rsidP="00671A32">
            <w:pPr>
              <w:pStyle w:val="Heading7"/>
              <w:spacing w:before="0" w:after="0"/>
              <w:jc w:val="center"/>
              <w:rPr>
                <w:b/>
                <w:bCs/>
                <w:i/>
                <w:color w:val="FFFFFF"/>
                <w:sz w:val="22"/>
                <w:szCs w:val="22"/>
              </w:rPr>
            </w:pPr>
            <w:r>
              <w:rPr>
                <w:b/>
                <w:bCs/>
                <w:i/>
                <w:color w:val="FFFFFF"/>
                <w:sz w:val="22"/>
                <w:szCs w:val="22"/>
              </w:rPr>
              <w:t>Стойност на задълженията</w:t>
            </w:r>
          </w:p>
        </w:tc>
        <w:tc>
          <w:tcPr>
            <w:tcW w:w="2270" w:type="dxa"/>
            <w:shd w:val="clear" w:color="auto" w:fill="E36C0A"/>
            <w:vAlign w:val="center"/>
          </w:tcPr>
          <w:p w14:paraId="6B332D51" w14:textId="77777777" w:rsidR="006E6FED" w:rsidRPr="00F51E2A" w:rsidRDefault="006E6FED" w:rsidP="00671A32">
            <w:pPr>
              <w:pStyle w:val="Heading7"/>
              <w:spacing w:before="0" w:after="0"/>
              <w:jc w:val="center"/>
              <w:rPr>
                <w:b/>
                <w:bCs/>
                <w:i/>
                <w:color w:val="FFFFFF"/>
                <w:sz w:val="22"/>
                <w:szCs w:val="22"/>
              </w:rPr>
            </w:pPr>
            <w:r>
              <w:rPr>
                <w:b/>
                <w:bCs/>
                <w:i/>
                <w:color w:val="FFFFFF"/>
                <w:sz w:val="22"/>
                <w:szCs w:val="22"/>
              </w:rPr>
              <w:t>Възможност да обслужването на задълженията</w:t>
            </w:r>
          </w:p>
        </w:tc>
      </w:tr>
      <w:tr w:rsidR="006E6FED" w:rsidRPr="00F51E2A" w14:paraId="43117E01" w14:textId="77777777" w:rsidTr="008B7996">
        <w:trPr>
          <w:trHeight w:val="571"/>
          <w:jc w:val="center"/>
        </w:trPr>
        <w:tc>
          <w:tcPr>
            <w:tcW w:w="2439" w:type="dxa"/>
            <w:shd w:val="clear" w:color="auto" w:fill="E36C0A"/>
            <w:vAlign w:val="center"/>
          </w:tcPr>
          <w:p w14:paraId="345EA421" w14:textId="77777777" w:rsidR="006E6FED" w:rsidRDefault="006E6FED" w:rsidP="00671A32">
            <w:pPr>
              <w:pStyle w:val="Heading7"/>
              <w:spacing w:before="0" w:after="0"/>
              <w:jc w:val="center"/>
              <w:rPr>
                <w:b/>
                <w:bCs/>
                <w:i/>
                <w:color w:val="FFFFFF"/>
                <w:sz w:val="22"/>
                <w:szCs w:val="22"/>
              </w:rPr>
            </w:pPr>
            <w:r>
              <w:rPr>
                <w:b/>
                <w:bCs/>
                <w:i/>
                <w:color w:val="FFFFFF"/>
                <w:sz w:val="22"/>
                <w:szCs w:val="22"/>
              </w:rPr>
              <w:t>(1)</w:t>
            </w:r>
          </w:p>
        </w:tc>
        <w:tc>
          <w:tcPr>
            <w:tcW w:w="2263" w:type="dxa"/>
            <w:shd w:val="clear" w:color="auto" w:fill="E36C0A"/>
            <w:vAlign w:val="center"/>
          </w:tcPr>
          <w:p w14:paraId="2DCB66F2" w14:textId="77777777" w:rsidR="006E6FED" w:rsidRDefault="006E6FED" w:rsidP="00671A32">
            <w:pPr>
              <w:pStyle w:val="Heading7"/>
              <w:spacing w:before="0" w:after="0"/>
              <w:jc w:val="center"/>
              <w:rPr>
                <w:b/>
                <w:bCs/>
                <w:i/>
                <w:color w:val="FFFFFF"/>
                <w:sz w:val="22"/>
                <w:szCs w:val="22"/>
              </w:rPr>
            </w:pPr>
            <w:r>
              <w:rPr>
                <w:b/>
                <w:bCs/>
                <w:i/>
                <w:color w:val="FFFFFF"/>
                <w:sz w:val="22"/>
                <w:szCs w:val="22"/>
              </w:rPr>
              <w:t>(2)</w:t>
            </w:r>
          </w:p>
        </w:tc>
        <w:tc>
          <w:tcPr>
            <w:tcW w:w="2248" w:type="dxa"/>
            <w:shd w:val="clear" w:color="auto" w:fill="E36C0A"/>
            <w:vAlign w:val="center"/>
          </w:tcPr>
          <w:p w14:paraId="6F392D66" w14:textId="77777777" w:rsidR="006E6FED" w:rsidRDefault="006E6FED" w:rsidP="00671A32">
            <w:pPr>
              <w:pStyle w:val="Heading7"/>
              <w:spacing w:before="0" w:after="0"/>
              <w:jc w:val="center"/>
              <w:rPr>
                <w:b/>
                <w:bCs/>
                <w:i/>
                <w:color w:val="FFFFFF"/>
                <w:sz w:val="22"/>
                <w:szCs w:val="22"/>
              </w:rPr>
            </w:pPr>
            <w:r>
              <w:rPr>
                <w:b/>
                <w:bCs/>
                <w:i/>
                <w:color w:val="FFFFFF"/>
                <w:sz w:val="22"/>
                <w:szCs w:val="22"/>
              </w:rPr>
              <w:t>(3)</w:t>
            </w:r>
          </w:p>
        </w:tc>
        <w:tc>
          <w:tcPr>
            <w:tcW w:w="2270" w:type="dxa"/>
            <w:shd w:val="clear" w:color="auto" w:fill="E36C0A"/>
            <w:vAlign w:val="center"/>
          </w:tcPr>
          <w:p w14:paraId="7F8F99F0" w14:textId="77777777" w:rsidR="006E6FED" w:rsidRDefault="006E6FED" w:rsidP="00671A32">
            <w:pPr>
              <w:pStyle w:val="Heading7"/>
              <w:spacing w:before="0" w:after="0"/>
              <w:jc w:val="center"/>
              <w:rPr>
                <w:b/>
                <w:bCs/>
                <w:i/>
                <w:color w:val="FFFFFF"/>
                <w:sz w:val="22"/>
                <w:szCs w:val="22"/>
              </w:rPr>
            </w:pPr>
            <w:r>
              <w:rPr>
                <w:b/>
                <w:bCs/>
                <w:i/>
                <w:color w:val="FFFFFF"/>
                <w:sz w:val="22"/>
                <w:szCs w:val="22"/>
              </w:rPr>
              <w:t>(4) = (1+2 -3)</w:t>
            </w:r>
          </w:p>
        </w:tc>
      </w:tr>
      <w:tr w:rsidR="006E6FED" w:rsidRPr="00F51E2A" w14:paraId="619DE6C9" w14:textId="77777777" w:rsidTr="002228B1">
        <w:trPr>
          <w:jc w:val="center"/>
        </w:trPr>
        <w:tc>
          <w:tcPr>
            <w:tcW w:w="2439" w:type="dxa"/>
          </w:tcPr>
          <w:p w14:paraId="111BC2E9" w14:textId="717A339C" w:rsidR="006E6FED" w:rsidRPr="002D32DE" w:rsidRDefault="00CD56E5" w:rsidP="00E213BB">
            <w:pPr>
              <w:pStyle w:val="Heading7"/>
              <w:spacing w:before="0" w:after="0"/>
              <w:jc w:val="center"/>
              <w:rPr>
                <w:sz w:val="22"/>
                <w:szCs w:val="22"/>
              </w:rPr>
            </w:pPr>
            <w:r>
              <w:rPr>
                <w:sz w:val="22"/>
                <w:szCs w:val="22"/>
              </w:rPr>
              <w:t>157</w:t>
            </w:r>
          </w:p>
        </w:tc>
        <w:tc>
          <w:tcPr>
            <w:tcW w:w="2263" w:type="dxa"/>
            <w:vAlign w:val="center"/>
          </w:tcPr>
          <w:p w14:paraId="71111040" w14:textId="636FB1C7" w:rsidR="006E6FED" w:rsidRPr="002D32DE" w:rsidRDefault="00CD56E5" w:rsidP="00CF23FA">
            <w:pPr>
              <w:pStyle w:val="Heading7"/>
              <w:spacing w:before="0" w:after="0"/>
              <w:jc w:val="center"/>
              <w:rPr>
                <w:sz w:val="22"/>
                <w:szCs w:val="22"/>
              </w:rPr>
            </w:pPr>
            <w:r>
              <w:rPr>
                <w:sz w:val="22"/>
                <w:szCs w:val="22"/>
              </w:rPr>
              <w:t>249</w:t>
            </w:r>
          </w:p>
        </w:tc>
        <w:tc>
          <w:tcPr>
            <w:tcW w:w="2248" w:type="dxa"/>
            <w:vAlign w:val="center"/>
          </w:tcPr>
          <w:p w14:paraId="36A95C84" w14:textId="37CB4617" w:rsidR="006E6FED" w:rsidRPr="002D32DE" w:rsidRDefault="00756A99" w:rsidP="006B5918">
            <w:pPr>
              <w:pStyle w:val="Heading7"/>
              <w:spacing w:before="0" w:after="0"/>
              <w:jc w:val="center"/>
              <w:rPr>
                <w:sz w:val="22"/>
                <w:szCs w:val="22"/>
              </w:rPr>
            </w:pPr>
            <w:r>
              <w:rPr>
                <w:sz w:val="22"/>
                <w:szCs w:val="22"/>
              </w:rPr>
              <w:t>221</w:t>
            </w:r>
          </w:p>
        </w:tc>
        <w:tc>
          <w:tcPr>
            <w:tcW w:w="2270" w:type="dxa"/>
          </w:tcPr>
          <w:p w14:paraId="1A4EF1C6" w14:textId="4812AC76" w:rsidR="006E6FED" w:rsidRPr="002D32DE" w:rsidRDefault="008B7996" w:rsidP="00CF23FA">
            <w:pPr>
              <w:pStyle w:val="Heading7"/>
              <w:spacing w:before="0" w:after="0"/>
              <w:jc w:val="center"/>
              <w:rPr>
                <w:sz w:val="22"/>
                <w:szCs w:val="22"/>
              </w:rPr>
            </w:pPr>
            <w:r>
              <w:rPr>
                <w:sz w:val="22"/>
                <w:szCs w:val="22"/>
              </w:rPr>
              <w:t>+ 18</w:t>
            </w:r>
            <w:r w:rsidR="00AB6E28">
              <w:rPr>
                <w:sz w:val="22"/>
                <w:szCs w:val="22"/>
              </w:rPr>
              <w:t>5</w:t>
            </w:r>
          </w:p>
        </w:tc>
      </w:tr>
    </w:tbl>
    <w:p w14:paraId="01AB8D28" w14:textId="77777777" w:rsidR="006E6FED" w:rsidRDefault="006E6FED" w:rsidP="004D6C21">
      <w:pPr>
        <w:jc w:val="both"/>
        <w:rPr>
          <w:rFonts w:eastAsia="Times New Roman" w:cs="Calibri"/>
          <w:b/>
          <w:lang w:eastAsia="bg-BG"/>
        </w:rPr>
      </w:pPr>
    </w:p>
    <w:p w14:paraId="6D2E651E" w14:textId="329873F8" w:rsidR="001814E0" w:rsidRPr="0092089E" w:rsidRDefault="001814E0" w:rsidP="001814E0">
      <w:pPr>
        <w:jc w:val="both"/>
        <w:rPr>
          <w:rFonts w:eastAsia="Times New Roman" w:cs="Calibri"/>
        </w:rPr>
      </w:pPr>
      <w:r>
        <w:rPr>
          <w:rFonts w:eastAsia="Times New Roman" w:cs="Calibri"/>
          <w:lang w:val="ru-RU" w:eastAsia="bg-BG"/>
        </w:rPr>
        <w:t xml:space="preserve">       </w:t>
      </w:r>
      <w:r w:rsidRPr="001D6B19">
        <w:rPr>
          <w:rFonts w:eastAsia="Times New Roman" w:cs="Calibri"/>
          <w:lang w:val="ru-RU" w:eastAsia="bg-BG"/>
        </w:rPr>
        <w:t xml:space="preserve"> </w:t>
      </w:r>
      <w:r w:rsidRPr="0092089E">
        <w:rPr>
          <w:rFonts w:eastAsia="Times New Roman" w:cs="Calibri"/>
          <w:lang w:eastAsia="bg-BG"/>
        </w:rPr>
        <w:t>От таблицата по-горе е видно, че към 31.12.20</w:t>
      </w:r>
      <w:r>
        <w:rPr>
          <w:rFonts w:eastAsia="Times New Roman" w:cs="Calibri"/>
          <w:lang w:eastAsia="bg-BG"/>
        </w:rPr>
        <w:t>21</w:t>
      </w:r>
      <w:r w:rsidRPr="0092089E">
        <w:rPr>
          <w:rFonts w:eastAsia="Times New Roman" w:cs="Calibri"/>
          <w:lang w:eastAsia="bg-BG"/>
        </w:rPr>
        <w:t xml:space="preserve"> г., стойността на вземанията и паричните средства е по-голяма от стойността на задълженията на  </w:t>
      </w:r>
      <w:r w:rsidRPr="0092089E">
        <w:rPr>
          <w:rFonts w:eastAsia="Times New Roman" w:cs="Calibri"/>
        </w:rPr>
        <w:t xml:space="preserve">„ДКЦ </w:t>
      </w:r>
      <w:r>
        <w:rPr>
          <w:rFonts w:eastAsia="Times New Roman" w:cs="Calibri"/>
        </w:rPr>
        <w:t>Чайка</w:t>
      </w:r>
      <w:r w:rsidRPr="0092089E">
        <w:rPr>
          <w:rFonts w:eastAsia="Times New Roman" w:cs="Calibri"/>
        </w:rPr>
        <w:t>” ЕООД</w:t>
      </w:r>
      <w:r>
        <w:rPr>
          <w:rFonts w:eastAsia="Times New Roman" w:cs="Calibri"/>
        </w:rPr>
        <w:t xml:space="preserve"> със 18</w:t>
      </w:r>
      <w:r w:rsidR="00AB6E28">
        <w:rPr>
          <w:rFonts w:eastAsia="Times New Roman" w:cs="Calibri"/>
        </w:rPr>
        <w:t>5</w:t>
      </w:r>
      <w:r>
        <w:rPr>
          <w:rFonts w:eastAsia="Times New Roman" w:cs="Calibri"/>
        </w:rPr>
        <w:t xml:space="preserve"> х. лв.</w:t>
      </w:r>
      <w:r w:rsidRPr="0092089E">
        <w:rPr>
          <w:rFonts w:eastAsia="Times New Roman" w:cs="Calibri"/>
        </w:rPr>
        <w:t xml:space="preserve"> </w:t>
      </w:r>
    </w:p>
    <w:p w14:paraId="1A590F9A" w14:textId="5DD11F92" w:rsidR="00213ABA" w:rsidRDefault="001814E0" w:rsidP="00213ABA">
      <w:pPr>
        <w:jc w:val="both"/>
        <w:rPr>
          <w:color w:val="000000"/>
          <w:kern w:val="2"/>
        </w:rPr>
      </w:pPr>
      <w:r w:rsidRPr="0092089E">
        <w:rPr>
          <w:rFonts w:eastAsia="Times New Roman" w:cs="Calibri"/>
        </w:rPr>
        <w:t xml:space="preserve">        </w:t>
      </w:r>
      <w:r>
        <w:rPr>
          <w:rFonts w:eastAsia="Times New Roman" w:cs="Calibri"/>
        </w:rPr>
        <w:t>Наличните вземания и паричните</w:t>
      </w:r>
      <w:r w:rsidRPr="0092089E">
        <w:rPr>
          <w:rFonts w:eastAsia="Times New Roman" w:cs="Calibri"/>
        </w:rPr>
        <w:t xml:space="preserve"> средства ще </w:t>
      </w:r>
      <w:r>
        <w:rPr>
          <w:rFonts w:eastAsia="Times New Roman" w:cs="Calibri"/>
        </w:rPr>
        <w:t xml:space="preserve">могат да </w:t>
      </w:r>
      <w:r w:rsidRPr="0092089E">
        <w:rPr>
          <w:rFonts w:eastAsia="Times New Roman" w:cs="Calibri"/>
        </w:rPr>
        <w:t xml:space="preserve">обслужат задълженията за м.01 и </w:t>
      </w:r>
      <w:r>
        <w:rPr>
          <w:rFonts w:eastAsia="Times New Roman" w:cs="Calibri"/>
        </w:rPr>
        <w:t>следващите</w:t>
      </w:r>
      <w:r w:rsidRPr="0092089E">
        <w:rPr>
          <w:rFonts w:eastAsia="Times New Roman" w:cs="Calibri"/>
        </w:rPr>
        <w:t xml:space="preserve">. </w:t>
      </w:r>
      <w:r>
        <w:rPr>
          <w:kern w:val="2"/>
        </w:rPr>
        <w:t>Въпреки</w:t>
      </w:r>
      <w:r w:rsidRPr="0092089E">
        <w:rPr>
          <w:kern w:val="2"/>
        </w:rPr>
        <w:t xml:space="preserve"> това, дружеството е предприело </w:t>
      </w:r>
      <w:r>
        <w:rPr>
          <w:kern w:val="2"/>
        </w:rPr>
        <w:t>с</w:t>
      </w:r>
      <w:r w:rsidRPr="0092089E">
        <w:rPr>
          <w:kern w:val="2"/>
        </w:rPr>
        <w:t>трог контрол върху текущите разходи</w:t>
      </w:r>
      <w:r>
        <w:rPr>
          <w:kern w:val="2"/>
        </w:rPr>
        <w:t xml:space="preserve"> </w:t>
      </w:r>
      <w:r w:rsidRPr="0092089E">
        <w:rPr>
          <w:kern w:val="2"/>
        </w:rPr>
        <w:t xml:space="preserve">и </w:t>
      </w:r>
      <w:r>
        <w:rPr>
          <w:kern w:val="2"/>
        </w:rPr>
        <w:t xml:space="preserve">стремеж за </w:t>
      </w:r>
      <w:r w:rsidRPr="0092089E">
        <w:rPr>
          <w:kern w:val="2"/>
        </w:rPr>
        <w:t>генериране на по-големи приходи от платени услуги, с цел освобождаване на парични средства за разплащане.</w:t>
      </w:r>
    </w:p>
    <w:p w14:paraId="65B84F66" w14:textId="77777777" w:rsidR="001548C1" w:rsidRDefault="001548C1" w:rsidP="00213ABA">
      <w:pPr>
        <w:jc w:val="both"/>
        <w:rPr>
          <w:color w:val="000000"/>
          <w:kern w:val="2"/>
        </w:rPr>
      </w:pPr>
    </w:p>
    <w:p w14:paraId="6ACAEEB1" w14:textId="45406686" w:rsidR="001548C1" w:rsidRPr="00316233" w:rsidRDefault="00BF1EA1" w:rsidP="002228B1">
      <w:pPr>
        <w:pStyle w:val="NoSpacing"/>
        <w:shd w:val="clear" w:color="auto" w:fill="E36C0A"/>
        <w:autoSpaceDE w:val="0"/>
        <w:autoSpaceDN w:val="0"/>
        <w:adjustRightInd w:val="0"/>
        <w:jc w:val="both"/>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pPr>
      <w:r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XV</w:t>
      </w:r>
      <w:r w:rsidR="001548C1"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ОЦЕНКА НА ВЪЗМОЖНОСТИТЕ ЗА РЕАЛИЗАЦИЯ НА ИНВЕСТИЦИОННИ НАМЕРЕНИЯ (</w:t>
      </w:r>
      <w:r w:rsidR="00C222B8"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съгл. </w:t>
      </w:r>
      <w:r w:rsidR="001548C1"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т. 13 от Приложение № </w:t>
      </w:r>
      <w:r w:rsidR="000D55FF">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2</w:t>
      </w:r>
      <w:r w:rsidR="001548C1"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w:t>
      </w:r>
    </w:p>
    <w:p w14:paraId="0633F90F" w14:textId="77777777" w:rsidR="001548C1" w:rsidRDefault="001548C1" w:rsidP="00213ABA">
      <w:pPr>
        <w:jc w:val="both"/>
      </w:pPr>
    </w:p>
    <w:p w14:paraId="12E67890" w14:textId="77777777" w:rsidR="001548C1" w:rsidRDefault="001548C1" w:rsidP="001548C1">
      <w:pPr>
        <w:tabs>
          <w:tab w:val="left" w:pos="0"/>
        </w:tabs>
        <w:ind w:right="114"/>
        <w:jc w:val="both"/>
      </w:pPr>
      <w:r w:rsidRPr="00FD3526">
        <w:rPr>
          <w:color w:val="000000"/>
          <w:kern w:val="2"/>
        </w:rPr>
        <w:t>„</w:t>
      </w:r>
      <w:r w:rsidR="00C32E2A">
        <w:rPr>
          <w:color w:val="000000"/>
          <w:kern w:val="2"/>
        </w:rPr>
        <w:t xml:space="preserve">ДКЦ Чайка </w:t>
      </w:r>
      <w:r w:rsidR="00C32E2A" w:rsidRPr="00FD3526">
        <w:rPr>
          <w:color w:val="000000"/>
          <w:kern w:val="2"/>
        </w:rPr>
        <w:t xml:space="preserve">” </w:t>
      </w:r>
      <w:r w:rsidR="00C32E2A">
        <w:rPr>
          <w:color w:val="000000"/>
          <w:kern w:val="2"/>
        </w:rPr>
        <w:t>ЕОО</w:t>
      </w:r>
      <w:r w:rsidR="00C32E2A" w:rsidRPr="00FD3526">
        <w:rPr>
          <w:color w:val="000000"/>
          <w:kern w:val="2"/>
        </w:rPr>
        <w:t>Д</w:t>
      </w:r>
      <w:r w:rsidRPr="00FD3526">
        <w:rPr>
          <w:color w:val="000000"/>
          <w:kern w:val="2"/>
        </w:rPr>
        <w:t xml:space="preserve">” </w:t>
      </w:r>
      <w:r w:rsidR="00BF1EA1">
        <w:rPr>
          <w:color w:val="000000"/>
          <w:kern w:val="2"/>
        </w:rPr>
        <w:t xml:space="preserve"> </w:t>
      </w:r>
      <w:r>
        <w:rPr>
          <w:color w:val="000000"/>
          <w:kern w:val="2"/>
        </w:rPr>
        <w:t>има следните инвестиционни намерения и възможности за тяхното реализиране:</w:t>
      </w:r>
    </w:p>
    <w:tbl>
      <w:tblPr>
        <w:tblW w:w="0" w:type="auto"/>
        <w:jc w:val="center"/>
        <w:tblBorders>
          <w:top w:val="double" w:sz="4" w:space="0" w:color="E36C0A"/>
          <w:left w:val="double" w:sz="4" w:space="0" w:color="E36C0A"/>
          <w:bottom w:val="double" w:sz="4" w:space="0" w:color="E36C0A"/>
          <w:right w:val="double" w:sz="4" w:space="0" w:color="E36C0A"/>
          <w:insideH w:val="double" w:sz="4" w:space="0" w:color="E36C0A"/>
          <w:insideV w:val="double" w:sz="4" w:space="0" w:color="E36C0A"/>
        </w:tblBorders>
        <w:tblLayout w:type="fixed"/>
        <w:tblLook w:val="0000" w:firstRow="0" w:lastRow="0" w:firstColumn="0" w:lastColumn="0" w:noHBand="0" w:noVBand="0"/>
      </w:tblPr>
      <w:tblGrid>
        <w:gridCol w:w="1697"/>
        <w:gridCol w:w="1407"/>
        <w:gridCol w:w="1311"/>
        <w:gridCol w:w="2374"/>
        <w:gridCol w:w="1418"/>
        <w:gridCol w:w="1261"/>
      </w:tblGrid>
      <w:tr w:rsidR="00270FDE" w:rsidRPr="00587A90" w14:paraId="0400CBC8" w14:textId="77777777" w:rsidTr="00BF44B5">
        <w:trPr>
          <w:jc w:val="center"/>
        </w:trPr>
        <w:tc>
          <w:tcPr>
            <w:tcW w:w="1697" w:type="dxa"/>
            <w:shd w:val="clear" w:color="auto" w:fill="E36C0A"/>
            <w:vAlign w:val="center"/>
          </w:tcPr>
          <w:p w14:paraId="2EABE40F" w14:textId="77777777" w:rsidR="00270FDE" w:rsidRPr="00F51E2A" w:rsidRDefault="00270FDE" w:rsidP="00130342">
            <w:pPr>
              <w:pStyle w:val="Heading7"/>
              <w:spacing w:before="0" w:after="0"/>
              <w:jc w:val="center"/>
              <w:rPr>
                <w:b/>
                <w:bCs/>
                <w:i/>
                <w:color w:val="FFFFFF"/>
                <w:sz w:val="22"/>
                <w:szCs w:val="22"/>
              </w:rPr>
            </w:pPr>
            <w:r w:rsidRPr="00F51E2A">
              <w:rPr>
                <w:b/>
                <w:bCs/>
                <w:i/>
                <w:color w:val="FFFFFF"/>
                <w:sz w:val="22"/>
                <w:szCs w:val="22"/>
              </w:rPr>
              <w:t>Инвестиционно намерение</w:t>
            </w:r>
          </w:p>
        </w:tc>
        <w:tc>
          <w:tcPr>
            <w:tcW w:w="1407" w:type="dxa"/>
            <w:shd w:val="clear" w:color="auto" w:fill="E36C0A"/>
            <w:vAlign w:val="center"/>
          </w:tcPr>
          <w:p w14:paraId="1358F2B0" w14:textId="77777777" w:rsidR="00270FDE" w:rsidRPr="00F51E2A" w:rsidRDefault="00270FDE" w:rsidP="00130342">
            <w:pPr>
              <w:pStyle w:val="Heading7"/>
              <w:spacing w:before="0" w:after="0"/>
              <w:jc w:val="center"/>
              <w:rPr>
                <w:b/>
                <w:bCs/>
                <w:i/>
                <w:color w:val="FFFFFF"/>
                <w:sz w:val="22"/>
                <w:szCs w:val="22"/>
              </w:rPr>
            </w:pPr>
            <w:r w:rsidRPr="00F51E2A">
              <w:rPr>
                <w:b/>
                <w:bCs/>
                <w:i/>
                <w:color w:val="FFFFFF"/>
                <w:sz w:val="22"/>
                <w:szCs w:val="22"/>
              </w:rPr>
              <w:t>Цел</w:t>
            </w:r>
          </w:p>
        </w:tc>
        <w:tc>
          <w:tcPr>
            <w:tcW w:w="1311" w:type="dxa"/>
            <w:shd w:val="clear" w:color="auto" w:fill="E36C0A"/>
            <w:vAlign w:val="center"/>
          </w:tcPr>
          <w:p w14:paraId="5662F83E" w14:textId="77777777" w:rsidR="00270FDE" w:rsidRPr="00F51E2A" w:rsidRDefault="00270FDE" w:rsidP="00130342">
            <w:pPr>
              <w:pStyle w:val="Heading7"/>
              <w:spacing w:before="0" w:after="0"/>
              <w:jc w:val="center"/>
              <w:rPr>
                <w:b/>
                <w:bCs/>
                <w:i/>
                <w:color w:val="FFFFFF"/>
                <w:sz w:val="22"/>
                <w:szCs w:val="22"/>
              </w:rPr>
            </w:pPr>
            <w:r w:rsidRPr="00F51E2A">
              <w:rPr>
                <w:b/>
                <w:bCs/>
                <w:i/>
                <w:color w:val="FFFFFF"/>
                <w:sz w:val="22"/>
                <w:szCs w:val="22"/>
              </w:rPr>
              <w:t>Стойност</w:t>
            </w:r>
          </w:p>
        </w:tc>
        <w:tc>
          <w:tcPr>
            <w:tcW w:w="2374" w:type="dxa"/>
            <w:shd w:val="clear" w:color="auto" w:fill="E36C0A"/>
            <w:vAlign w:val="center"/>
          </w:tcPr>
          <w:p w14:paraId="2DDA461B" w14:textId="77777777" w:rsidR="00270FDE" w:rsidRPr="00F51E2A" w:rsidRDefault="00270FDE" w:rsidP="00270FDE">
            <w:pPr>
              <w:pStyle w:val="Heading7"/>
              <w:spacing w:before="0" w:after="0"/>
              <w:jc w:val="center"/>
              <w:rPr>
                <w:b/>
                <w:bCs/>
                <w:i/>
                <w:color w:val="FFFFFF"/>
                <w:sz w:val="22"/>
                <w:szCs w:val="22"/>
              </w:rPr>
            </w:pPr>
            <w:r w:rsidRPr="00F51E2A">
              <w:rPr>
                <w:b/>
                <w:bCs/>
                <w:i/>
                <w:color w:val="FFFFFF"/>
                <w:sz w:val="22"/>
                <w:szCs w:val="22"/>
              </w:rPr>
              <w:t>Начин на финансиране</w:t>
            </w:r>
          </w:p>
        </w:tc>
        <w:tc>
          <w:tcPr>
            <w:tcW w:w="1418" w:type="dxa"/>
            <w:shd w:val="clear" w:color="auto" w:fill="E36C0A"/>
            <w:vAlign w:val="center"/>
          </w:tcPr>
          <w:p w14:paraId="29C03CA5" w14:textId="77777777" w:rsidR="00270FDE" w:rsidRPr="00F51E2A" w:rsidRDefault="00270FDE" w:rsidP="00130342">
            <w:pPr>
              <w:pStyle w:val="Heading7"/>
              <w:spacing w:before="0" w:after="0"/>
              <w:jc w:val="center"/>
              <w:rPr>
                <w:b/>
                <w:bCs/>
                <w:i/>
                <w:color w:val="FFFFFF"/>
                <w:sz w:val="22"/>
                <w:szCs w:val="22"/>
              </w:rPr>
            </w:pPr>
            <w:r w:rsidRPr="00F51E2A">
              <w:rPr>
                <w:b/>
                <w:bCs/>
                <w:i/>
                <w:color w:val="FFFFFF"/>
                <w:sz w:val="22"/>
                <w:szCs w:val="22"/>
              </w:rPr>
              <w:t>Размер на разполагаемите средства</w:t>
            </w:r>
          </w:p>
        </w:tc>
        <w:tc>
          <w:tcPr>
            <w:tcW w:w="1261" w:type="dxa"/>
            <w:shd w:val="clear" w:color="auto" w:fill="E36C0A"/>
            <w:vAlign w:val="center"/>
          </w:tcPr>
          <w:p w14:paraId="4EE360AE" w14:textId="77777777" w:rsidR="00270FDE" w:rsidRPr="00F51E2A" w:rsidRDefault="00270FDE" w:rsidP="00130342">
            <w:pPr>
              <w:pStyle w:val="Heading7"/>
              <w:spacing w:before="0" w:after="0"/>
              <w:jc w:val="center"/>
              <w:rPr>
                <w:b/>
                <w:bCs/>
                <w:i/>
                <w:color w:val="FFFFFF"/>
                <w:sz w:val="22"/>
                <w:szCs w:val="22"/>
              </w:rPr>
            </w:pPr>
            <w:r w:rsidRPr="00F51E2A">
              <w:rPr>
                <w:b/>
                <w:bCs/>
                <w:i/>
                <w:color w:val="FFFFFF"/>
                <w:sz w:val="22"/>
                <w:szCs w:val="22"/>
              </w:rPr>
              <w:t xml:space="preserve">Възможни промени в структурата на </w:t>
            </w:r>
            <w:r w:rsidRPr="00F51E2A">
              <w:rPr>
                <w:b/>
                <w:bCs/>
                <w:i/>
                <w:color w:val="FFFFFF"/>
                <w:sz w:val="22"/>
                <w:szCs w:val="22"/>
              </w:rPr>
              <w:lastRenderedPageBreak/>
              <w:t>финансиране</w:t>
            </w:r>
          </w:p>
        </w:tc>
      </w:tr>
      <w:tr w:rsidR="00270FDE" w:rsidRPr="005825A7" w14:paraId="7E5040DF" w14:textId="77777777" w:rsidTr="00BF44B5">
        <w:trPr>
          <w:jc w:val="center"/>
        </w:trPr>
        <w:tc>
          <w:tcPr>
            <w:tcW w:w="1697" w:type="dxa"/>
          </w:tcPr>
          <w:p w14:paraId="2D965F98" w14:textId="77777777" w:rsidR="00270FDE" w:rsidRPr="00D058A7" w:rsidRDefault="00C32E2A" w:rsidP="00130342">
            <w:pPr>
              <w:pStyle w:val="Heading7"/>
              <w:spacing w:before="0" w:after="0"/>
              <w:rPr>
                <w:sz w:val="22"/>
                <w:szCs w:val="22"/>
              </w:rPr>
            </w:pPr>
            <w:r w:rsidRPr="00D058A7">
              <w:rPr>
                <w:sz w:val="22"/>
                <w:szCs w:val="22"/>
              </w:rPr>
              <w:lastRenderedPageBreak/>
              <w:t>Подмяна на ВиК инсталация</w:t>
            </w:r>
          </w:p>
        </w:tc>
        <w:tc>
          <w:tcPr>
            <w:tcW w:w="1407" w:type="dxa"/>
            <w:vAlign w:val="center"/>
          </w:tcPr>
          <w:p w14:paraId="7CDE1CF0" w14:textId="77777777" w:rsidR="00270FDE" w:rsidRPr="00D058A7" w:rsidRDefault="00C32E2A" w:rsidP="00130342">
            <w:pPr>
              <w:pStyle w:val="Heading7"/>
              <w:spacing w:before="0" w:after="0"/>
              <w:jc w:val="center"/>
              <w:rPr>
                <w:sz w:val="22"/>
                <w:szCs w:val="22"/>
              </w:rPr>
            </w:pPr>
            <w:r w:rsidRPr="00D058A7">
              <w:rPr>
                <w:sz w:val="22"/>
                <w:szCs w:val="22"/>
              </w:rPr>
              <w:t>Намаляване на аварии</w:t>
            </w:r>
          </w:p>
        </w:tc>
        <w:tc>
          <w:tcPr>
            <w:tcW w:w="1311" w:type="dxa"/>
            <w:vAlign w:val="center"/>
          </w:tcPr>
          <w:p w14:paraId="70091168" w14:textId="77777777" w:rsidR="00270FDE" w:rsidRPr="00D058A7" w:rsidRDefault="00C32E2A" w:rsidP="00130342">
            <w:pPr>
              <w:pStyle w:val="Heading7"/>
              <w:spacing w:before="0" w:after="0"/>
              <w:jc w:val="center"/>
              <w:rPr>
                <w:sz w:val="22"/>
                <w:szCs w:val="22"/>
              </w:rPr>
            </w:pPr>
            <w:r w:rsidRPr="00D058A7">
              <w:rPr>
                <w:sz w:val="22"/>
                <w:szCs w:val="22"/>
              </w:rPr>
              <w:t>35000</w:t>
            </w:r>
          </w:p>
        </w:tc>
        <w:tc>
          <w:tcPr>
            <w:tcW w:w="2374" w:type="dxa"/>
            <w:vAlign w:val="center"/>
          </w:tcPr>
          <w:p w14:paraId="26EDA41D" w14:textId="77777777" w:rsidR="00270FDE" w:rsidRPr="00D058A7" w:rsidRDefault="00036E2C" w:rsidP="00270FDE">
            <w:pPr>
              <w:pStyle w:val="Heading7"/>
              <w:spacing w:before="0" w:after="0"/>
              <w:jc w:val="center"/>
              <w:rPr>
                <w:sz w:val="22"/>
                <w:szCs w:val="22"/>
              </w:rPr>
            </w:pPr>
            <w:r w:rsidRPr="00D058A7">
              <w:rPr>
                <w:sz w:val="22"/>
                <w:szCs w:val="22"/>
              </w:rPr>
              <w:t xml:space="preserve">Целева субсидия </w:t>
            </w:r>
          </w:p>
        </w:tc>
        <w:tc>
          <w:tcPr>
            <w:tcW w:w="1418" w:type="dxa"/>
          </w:tcPr>
          <w:p w14:paraId="05BDC494" w14:textId="77777777" w:rsidR="00270FDE" w:rsidRPr="00D058A7" w:rsidRDefault="00036E2C" w:rsidP="00130342">
            <w:pPr>
              <w:pStyle w:val="Heading7"/>
              <w:spacing w:before="0" w:after="0"/>
              <w:rPr>
                <w:sz w:val="22"/>
                <w:szCs w:val="22"/>
              </w:rPr>
            </w:pPr>
            <w:r w:rsidRPr="00D058A7">
              <w:rPr>
                <w:sz w:val="22"/>
                <w:szCs w:val="22"/>
              </w:rPr>
              <w:t>0</w:t>
            </w:r>
          </w:p>
        </w:tc>
        <w:tc>
          <w:tcPr>
            <w:tcW w:w="1261" w:type="dxa"/>
          </w:tcPr>
          <w:p w14:paraId="5C2B25A6" w14:textId="77777777" w:rsidR="00270FDE" w:rsidRPr="00D058A7" w:rsidRDefault="00036E2C" w:rsidP="00130342">
            <w:pPr>
              <w:pStyle w:val="Heading7"/>
              <w:spacing w:before="0" w:after="0"/>
              <w:rPr>
                <w:sz w:val="22"/>
                <w:szCs w:val="22"/>
              </w:rPr>
            </w:pPr>
            <w:r w:rsidRPr="00D058A7">
              <w:rPr>
                <w:sz w:val="22"/>
                <w:szCs w:val="22"/>
              </w:rPr>
              <w:t>-</w:t>
            </w:r>
          </w:p>
        </w:tc>
      </w:tr>
      <w:tr w:rsidR="000C4156" w:rsidRPr="005825A7" w14:paraId="695F4FE6" w14:textId="77777777" w:rsidTr="00BF44B5">
        <w:trPr>
          <w:jc w:val="center"/>
        </w:trPr>
        <w:tc>
          <w:tcPr>
            <w:tcW w:w="1697" w:type="dxa"/>
          </w:tcPr>
          <w:p w14:paraId="67D5969B" w14:textId="77777777" w:rsidR="000C4156" w:rsidRPr="00D058A7" w:rsidRDefault="000C4156" w:rsidP="00036E2C">
            <w:pPr>
              <w:pStyle w:val="Heading7"/>
              <w:spacing w:before="0" w:after="0"/>
              <w:rPr>
                <w:sz w:val="22"/>
                <w:szCs w:val="22"/>
              </w:rPr>
            </w:pPr>
            <w:r w:rsidRPr="00D058A7">
              <w:rPr>
                <w:sz w:val="22"/>
                <w:szCs w:val="22"/>
              </w:rPr>
              <w:t>Ремонт, реконструкция и мерки за подобряване на енергийната ефективност</w:t>
            </w:r>
          </w:p>
        </w:tc>
        <w:tc>
          <w:tcPr>
            <w:tcW w:w="1407" w:type="dxa"/>
            <w:vAlign w:val="center"/>
          </w:tcPr>
          <w:p w14:paraId="07FFB238" w14:textId="77777777" w:rsidR="000C4156" w:rsidRPr="00D058A7" w:rsidRDefault="000C4156" w:rsidP="00036E2C">
            <w:pPr>
              <w:pStyle w:val="Heading7"/>
              <w:spacing w:before="0" w:after="0"/>
              <w:jc w:val="center"/>
              <w:rPr>
                <w:sz w:val="22"/>
                <w:szCs w:val="22"/>
              </w:rPr>
            </w:pPr>
            <w:r w:rsidRPr="00D058A7">
              <w:rPr>
                <w:sz w:val="22"/>
                <w:szCs w:val="22"/>
              </w:rPr>
              <w:t>Ремонт, реконструкция и мерки за подобряване на енергийната ефективност</w:t>
            </w:r>
          </w:p>
        </w:tc>
        <w:tc>
          <w:tcPr>
            <w:tcW w:w="1311" w:type="dxa"/>
            <w:vAlign w:val="center"/>
          </w:tcPr>
          <w:p w14:paraId="7764D61F" w14:textId="77777777" w:rsidR="000C4156" w:rsidRPr="00D058A7" w:rsidRDefault="000C4156" w:rsidP="005D40A9">
            <w:pPr>
              <w:pStyle w:val="Heading7"/>
              <w:spacing w:before="0" w:after="0"/>
              <w:jc w:val="center"/>
              <w:rPr>
                <w:sz w:val="22"/>
                <w:szCs w:val="22"/>
              </w:rPr>
            </w:pPr>
            <w:r w:rsidRPr="00D058A7">
              <w:rPr>
                <w:sz w:val="22"/>
                <w:szCs w:val="22"/>
              </w:rPr>
              <w:t>1680000</w:t>
            </w:r>
          </w:p>
        </w:tc>
        <w:tc>
          <w:tcPr>
            <w:tcW w:w="2374" w:type="dxa"/>
            <w:vAlign w:val="center"/>
          </w:tcPr>
          <w:p w14:paraId="727763E9" w14:textId="77777777" w:rsidR="000C4156" w:rsidRPr="00D058A7" w:rsidRDefault="000C4156" w:rsidP="005D40A9">
            <w:pPr>
              <w:pStyle w:val="Heading7"/>
              <w:spacing w:before="0" w:after="0"/>
              <w:jc w:val="center"/>
              <w:rPr>
                <w:sz w:val="22"/>
                <w:szCs w:val="22"/>
              </w:rPr>
            </w:pPr>
            <w:r w:rsidRPr="00D058A7">
              <w:t>Инвестиционен  кредит по инициатива JESSICA, част от ОП „Регионално развитие“ 2007-2013г.</w:t>
            </w:r>
          </w:p>
        </w:tc>
        <w:tc>
          <w:tcPr>
            <w:tcW w:w="1418" w:type="dxa"/>
          </w:tcPr>
          <w:p w14:paraId="6940DD33" w14:textId="77777777" w:rsidR="000C4156" w:rsidRPr="00D058A7" w:rsidRDefault="000C4156" w:rsidP="005D40A9">
            <w:pPr>
              <w:pStyle w:val="Heading7"/>
              <w:spacing w:before="0" w:after="0"/>
              <w:rPr>
                <w:sz w:val="22"/>
                <w:szCs w:val="22"/>
              </w:rPr>
            </w:pPr>
            <w:r w:rsidRPr="00D058A7">
              <w:rPr>
                <w:sz w:val="22"/>
                <w:szCs w:val="22"/>
              </w:rPr>
              <w:t>0</w:t>
            </w:r>
          </w:p>
        </w:tc>
        <w:tc>
          <w:tcPr>
            <w:tcW w:w="1261" w:type="dxa"/>
          </w:tcPr>
          <w:p w14:paraId="7872DB98" w14:textId="77777777" w:rsidR="000C4156" w:rsidRPr="00D058A7" w:rsidRDefault="000C4156" w:rsidP="005D40A9">
            <w:pPr>
              <w:pStyle w:val="Heading7"/>
              <w:spacing w:before="0" w:after="0"/>
              <w:rPr>
                <w:sz w:val="22"/>
                <w:szCs w:val="22"/>
              </w:rPr>
            </w:pPr>
            <w:r w:rsidRPr="00D058A7">
              <w:rPr>
                <w:sz w:val="22"/>
                <w:szCs w:val="22"/>
              </w:rPr>
              <w:t>-</w:t>
            </w:r>
          </w:p>
        </w:tc>
      </w:tr>
      <w:tr w:rsidR="000C4156" w:rsidRPr="005825A7" w14:paraId="6A19D41A" w14:textId="77777777" w:rsidTr="00BF44B5">
        <w:trPr>
          <w:jc w:val="center"/>
        </w:trPr>
        <w:tc>
          <w:tcPr>
            <w:tcW w:w="1697" w:type="dxa"/>
          </w:tcPr>
          <w:p w14:paraId="08892A29" w14:textId="77777777" w:rsidR="000C4156" w:rsidRPr="00D058A7" w:rsidRDefault="00960117" w:rsidP="00036E2C">
            <w:pPr>
              <w:pStyle w:val="Heading7"/>
              <w:spacing w:before="0" w:after="0"/>
              <w:rPr>
                <w:sz w:val="22"/>
                <w:szCs w:val="22"/>
              </w:rPr>
            </w:pPr>
            <w:r w:rsidRPr="00D058A7">
              <w:rPr>
                <w:sz w:val="22"/>
                <w:szCs w:val="22"/>
              </w:rPr>
              <w:t>Закупуване на медицинско оборудване</w:t>
            </w:r>
          </w:p>
        </w:tc>
        <w:tc>
          <w:tcPr>
            <w:tcW w:w="1407" w:type="dxa"/>
            <w:vAlign w:val="center"/>
          </w:tcPr>
          <w:p w14:paraId="11232730" w14:textId="77777777" w:rsidR="000C4156" w:rsidRPr="00D058A7" w:rsidRDefault="00960117" w:rsidP="00960117">
            <w:pPr>
              <w:pStyle w:val="Heading7"/>
              <w:spacing w:before="0" w:after="0"/>
              <w:jc w:val="center"/>
              <w:rPr>
                <w:sz w:val="22"/>
                <w:szCs w:val="22"/>
              </w:rPr>
            </w:pPr>
            <w:r w:rsidRPr="00D058A7">
              <w:rPr>
                <w:sz w:val="22"/>
                <w:szCs w:val="22"/>
              </w:rPr>
              <w:t>Закупуване на 3 бр.ехографи</w:t>
            </w:r>
          </w:p>
        </w:tc>
        <w:tc>
          <w:tcPr>
            <w:tcW w:w="1311" w:type="dxa"/>
            <w:vAlign w:val="center"/>
          </w:tcPr>
          <w:p w14:paraId="0CA30A13" w14:textId="77777777" w:rsidR="000C4156" w:rsidRPr="00D058A7" w:rsidRDefault="00960117" w:rsidP="005D40A9">
            <w:pPr>
              <w:pStyle w:val="Heading7"/>
              <w:spacing w:before="0" w:after="0"/>
              <w:jc w:val="center"/>
              <w:rPr>
                <w:sz w:val="22"/>
                <w:szCs w:val="22"/>
              </w:rPr>
            </w:pPr>
            <w:r w:rsidRPr="00D058A7">
              <w:rPr>
                <w:sz w:val="22"/>
                <w:szCs w:val="22"/>
              </w:rPr>
              <w:t>180000</w:t>
            </w:r>
          </w:p>
        </w:tc>
        <w:tc>
          <w:tcPr>
            <w:tcW w:w="2374" w:type="dxa"/>
            <w:vAlign w:val="center"/>
          </w:tcPr>
          <w:p w14:paraId="65C61FC4" w14:textId="77777777" w:rsidR="000C4156" w:rsidRPr="00D058A7" w:rsidRDefault="00960117" w:rsidP="005D40A9">
            <w:pPr>
              <w:pStyle w:val="Heading7"/>
              <w:spacing w:before="0" w:after="0"/>
              <w:jc w:val="center"/>
              <w:rPr>
                <w:sz w:val="22"/>
                <w:szCs w:val="22"/>
              </w:rPr>
            </w:pPr>
            <w:r w:rsidRPr="00D058A7">
              <w:t>Инвестиционен  кредит по инициатива JESSICA, част от ОП „Регионално развитие“ 2007-2013г.</w:t>
            </w:r>
          </w:p>
        </w:tc>
        <w:tc>
          <w:tcPr>
            <w:tcW w:w="1418" w:type="dxa"/>
          </w:tcPr>
          <w:p w14:paraId="7CBD8A20" w14:textId="77777777" w:rsidR="000C4156" w:rsidRPr="00D058A7" w:rsidRDefault="00960117" w:rsidP="005D40A9">
            <w:pPr>
              <w:pStyle w:val="Heading7"/>
              <w:spacing w:before="0" w:after="0"/>
              <w:rPr>
                <w:sz w:val="22"/>
                <w:szCs w:val="22"/>
              </w:rPr>
            </w:pPr>
            <w:r w:rsidRPr="00D058A7">
              <w:rPr>
                <w:sz w:val="22"/>
                <w:szCs w:val="22"/>
              </w:rPr>
              <w:t>0</w:t>
            </w:r>
          </w:p>
        </w:tc>
        <w:tc>
          <w:tcPr>
            <w:tcW w:w="1261" w:type="dxa"/>
          </w:tcPr>
          <w:p w14:paraId="0E68EB5C" w14:textId="77777777" w:rsidR="000C4156" w:rsidRPr="00D058A7" w:rsidRDefault="00960117" w:rsidP="005D40A9">
            <w:pPr>
              <w:pStyle w:val="Heading7"/>
              <w:spacing w:before="0" w:after="0"/>
              <w:rPr>
                <w:sz w:val="22"/>
                <w:szCs w:val="22"/>
              </w:rPr>
            </w:pPr>
            <w:r w:rsidRPr="00D058A7">
              <w:rPr>
                <w:sz w:val="22"/>
                <w:szCs w:val="22"/>
              </w:rPr>
              <w:t>-</w:t>
            </w:r>
          </w:p>
        </w:tc>
      </w:tr>
    </w:tbl>
    <w:p w14:paraId="7BEAE5AC" w14:textId="77777777" w:rsidR="001548C1" w:rsidRDefault="001548C1" w:rsidP="00213ABA">
      <w:pPr>
        <w:jc w:val="both"/>
        <w:rPr>
          <w:color w:val="000000"/>
          <w:kern w:val="2"/>
        </w:rPr>
      </w:pPr>
    </w:p>
    <w:p w14:paraId="7D79FDD4" w14:textId="77777777" w:rsidR="00270FDE" w:rsidRDefault="00270FDE" w:rsidP="00213ABA">
      <w:pPr>
        <w:jc w:val="both"/>
        <w:rPr>
          <w:color w:val="000000"/>
          <w:kern w:val="2"/>
        </w:rPr>
      </w:pPr>
    </w:p>
    <w:p w14:paraId="4C0BA214" w14:textId="0F8962BD" w:rsidR="00270FDE" w:rsidRPr="00316233" w:rsidRDefault="00BF1EA1" w:rsidP="002228B1">
      <w:pPr>
        <w:pStyle w:val="NoSpacing"/>
        <w:shd w:val="clear" w:color="auto" w:fill="E36C0A"/>
        <w:autoSpaceDE w:val="0"/>
        <w:autoSpaceDN w:val="0"/>
        <w:adjustRightInd w:val="0"/>
        <w:jc w:val="both"/>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pPr>
      <w:r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XVI</w:t>
      </w:r>
      <w:r w:rsidR="00270FDE"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 НАСТЪПИЛИ ПРОМЕНИ В ОСНОВНИТЕ ПРИНЦИПИ НА УПРАВЛЕНИЕ</w:t>
      </w:r>
      <w:r w:rsidR="005218FD"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 </w:t>
      </w:r>
      <w:r w:rsidR="00270FDE"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w:t>
      </w:r>
      <w:r w:rsidR="00C222B8"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съгл. </w:t>
      </w:r>
      <w:r w:rsidR="00270FDE"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т. 14 от Приложение № </w:t>
      </w:r>
      <w:r w:rsidR="00E7012F">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2</w:t>
      </w:r>
      <w:r w:rsidR="00270FDE"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w:t>
      </w:r>
    </w:p>
    <w:p w14:paraId="7555C10A" w14:textId="77777777" w:rsidR="00270FDE" w:rsidRDefault="00270FDE" w:rsidP="00213ABA">
      <w:pPr>
        <w:jc w:val="both"/>
        <w:rPr>
          <w:color w:val="000000"/>
          <w:kern w:val="2"/>
        </w:rPr>
      </w:pPr>
    </w:p>
    <w:p w14:paraId="75DB8C6C" w14:textId="58A1627E" w:rsidR="00270FDE" w:rsidRDefault="00960117" w:rsidP="00036E2C">
      <w:pPr>
        <w:jc w:val="both"/>
        <w:rPr>
          <w:color w:val="000000"/>
          <w:kern w:val="2"/>
        </w:rPr>
      </w:pPr>
      <w:r>
        <w:rPr>
          <w:color w:val="000000"/>
          <w:kern w:val="2"/>
        </w:rPr>
        <w:t xml:space="preserve">През отчетната </w:t>
      </w:r>
      <w:r w:rsidR="00487716">
        <w:rPr>
          <w:color w:val="000000"/>
          <w:kern w:val="2"/>
        </w:rPr>
        <w:t>2021</w:t>
      </w:r>
      <w:r w:rsidR="00270FDE">
        <w:rPr>
          <w:color w:val="000000"/>
          <w:kern w:val="2"/>
        </w:rPr>
        <w:t xml:space="preserve">г. в основните принципи на управление на </w:t>
      </w:r>
      <w:r w:rsidR="00270FDE" w:rsidRPr="00FD3526">
        <w:rPr>
          <w:color w:val="000000"/>
          <w:kern w:val="2"/>
        </w:rPr>
        <w:t>„</w:t>
      </w:r>
      <w:r w:rsidR="00036E2C">
        <w:rPr>
          <w:color w:val="000000"/>
          <w:kern w:val="2"/>
        </w:rPr>
        <w:t xml:space="preserve">ДКЦ Чайка </w:t>
      </w:r>
      <w:r w:rsidR="00270FDE" w:rsidRPr="00FD3526">
        <w:rPr>
          <w:color w:val="000000"/>
          <w:kern w:val="2"/>
        </w:rPr>
        <w:t xml:space="preserve">” </w:t>
      </w:r>
      <w:r w:rsidR="00036E2C">
        <w:rPr>
          <w:color w:val="000000"/>
          <w:kern w:val="2"/>
        </w:rPr>
        <w:t>Е</w:t>
      </w:r>
      <w:r w:rsidR="00BF1EA1">
        <w:rPr>
          <w:color w:val="000000"/>
          <w:kern w:val="2"/>
        </w:rPr>
        <w:t>ОО</w:t>
      </w:r>
      <w:r w:rsidR="00270FDE" w:rsidRPr="00FD3526">
        <w:rPr>
          <w:color w:val="000000"/>
          <w:kern w:val="2"/>
        </w:rPr>
        <w:t>Д</w:t>
      </w:r>
      <w:r w:rsidR="00BF1EA1">
        <w:rPr>
          <w:color w:val="000000"/>
          <w:kern w:val="2"/>
        </w:rPr>
        <w:t xml:space="preserve"> </w:t>
      </w:r>
      <w:r w:rsidR="00270FDE">
        <w:rPr>
          <w:color w:val="000000"/>
          <w:kern w:val="2"/>
        </w:rPr>
        <w:t>не са</w:t>
      </w:r>
      <w:r w:rsidR="00036E2C">
        <w:rPr>
          <w:color w:val="000000"/>
          <w:kern w:val="2"/>
        </w:rPr>
        <w:t xml:space="preserve"> </w:t>
      </w:r>
      <w:r w:rsidR="00270FDE">
        <w:rPr>
          <w:color w:val="000000"/>
          <w:kern w:val="2"/>
        </w:rPr>
        <w:t xml:space="preserve"> настъпили </w:t>
      </w:r>
      <w:r w:rsidR="00036E2C">
        <w:rPr>
          <w:color w:val="000000"/>
          <w:kern w:val="2"/>
        </w:rPr>
        <w:t xml:space="preserve"> промени.</w:t>
      </w:r>
    </w:p>
    <w:p w14:paraId="424C4F2B" w14:textId="048604D5" w:rsidR="009F11AA" w:rsidRDefault="009F11AA" w:rsidP="00036E2C">
      <w:pPr>
        <w:jc w:val="both"/>
        <w:rPr>
          <w:color w:val="000000"/>
          <w:kern w:val="2"/>
        </w:rPr>
      </w:pPr>
    </w:p>
    <w:p w14:paraId="24741B8C" w14:textId="77777777" w:rsidR="009F11AA" w:rsidRDefault="009F11AA" w:rsidP="00036E2C">
      <w:pPr>
        <w:jc w:val="both"/>
        <w:rPr>
          <w:lang w:val="be-BY"/>
        </w:rPr>
      </w:pPr>
    </w:p>
    <w:p w14:paraId="02A70BBE" w14:textId="4EECD29F" w:rsidR="005218FD" w:rsidRPr="00316233" w:rsidRDefault="00BF1EA1" w:rsidP="002228B1">
      <w:pPr>
        <w:pStyle w:val="NoSpacing"/>
        <w:shd w:val="clear" w:color="auto" w:fill="E36C0A"/>
        <w:autoSpaceDE w:val="0"/>
        <w:autoSpaceDN w:val="0"/>
        <w:adjustRightInd w:val="0"/>
        <w:jc w:val="both"/>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pPr>
      <w:r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XVII</w:t>
      </w:r>
      <w:r w:rsidR="005218FD"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 ОСНОВНИТЕ ХАРАКТЕРИСТИКИ НА ПРИЛАГАНИТЕ СИСТЕМА ЗА ВЪТРЕШЕН КОНТРОЛ И СИСТЕМА ЗА УПРАВЛЕНИЕ НА </w:t>
      </w:r>
      <w:proofErr w:type="gramStart"/>
      <w:r w:rsidR="005218FD"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РИСКА  (</w:t>
      </w:r>
      <w:proofErr w:type="gramEnd"/>
      <w:r w:rsidR="00C222B8"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съгл. </w:t>
      </w:r>
      <w:r w:rsidR="005218FD"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т. 1</w:t>
      </w:r>
      <w:r w:rsidR="00C222B8"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5</w:t>
      </w:r>
      <w:r w:rsidR="005218FD"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 от Приложение № </w:t>
      </w:r>
      <w:r w:rsidR="000D55FF">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2</w:t>
      </w:r>
      <w:r w:rsidR="005218FD"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w:t>
      </w:r>
    </w:p>
    <w:p w14:paraId="5D7A18EA" w14:textId="77777777" w:rsidR="005218FD" w:rsidRDefault="005218FD" w:rsidP="005218FD">
      <w:pPr>
        <w:jc w:val="both"/>
        <w:rPr>
          <w:color w:val="000000"/>
          <w:kern w:val="2"/>
        </w:rPr>
      </w:pPr>
    </w:p>
    <w:p w14:paraId="301ABF40" w14:textId="77777777" w:rsidR="00616BF1" w:rsidRDefault="00616BF1" w:rsidP="00616BF1">
      <w:pPr>
        <w:autoSpaceDE w:val="0"/>
        <w:autoSpaceDN w:val="0"/>
        <w:adjustRightInd w:val="0"/>
        <w:jc w:val="both"/>
      </w:pPr>
      <w:r w:rsidRPr="00343852">
        <w:t>Вътрешният контрол и управлението на риска са динамични и итеративни процеси, осъществявани от управителните и надзорните органи, създадени да осигурят разумна степен на сигурност по отношение на постигане на целите на организацията в посока постигане на ефективност и ефикасност на операциите; надеждност на финансовите отчети; спазване и прилагане на съществуващите законови и регулаторни рамки.</w:t>
      </w:r>
    </w:p>
    <w:p w14:paraId="0D27B67F" w14:textId="77777777" w:rsidR="00616BF1" w:rsidRDefault="00616BF1" w:rsidP="00616BF1">
      <w:pPr>
        <w:autoSpaceDE w:val="0"/>
        <w:autoSpaceDN w:val="0"/>
        <w:adjustRightInd w:val="0"/>
        <w:jc w:val="both"/>
      </w:pPr>
    </w:p>
    <w:p w14:paraId="4790DB1C" w14:textId="77777777" w:rsidR="00616BF1" w:rsidRDefault="00616BF1" w:rsidP="00616BF1">
      <w:pPr>
        <w:autoSpaceDE w:val="0"/>
        <w:autoSpaceDN w:val="0"/>
        <w:adjustRightInd w:val="0"/>
        <w:jc w:val="both"/>
      </w:pPr>
      <w:r>
        <w:t>На основание чл. 2 от Закона за финансово управление и контрол в публичния сектор при спазване на принципите за законосъобразност, добро финансово управление и прозрачност</w:t>
      </w:r>
      <w:r w:rsidR="00036E2C">
        <w:t xml:space="preserve"> </w:t>
      </w:r>
      <w:r w:rsidR="00036E2C" w:rsidRPr="00FD3526">
        <w:rPr>
          <w:color w:val="000000"/>
          <w:kern w:val="2"/>
        </w:rPr>
        <w:t>„</w:t>
      </w:r>
      <w:r w:rsidR="00036E2C">
        <w:rPr>
          <w:color w:val="000000"/>
          <w:kern w:val="2"/>
        </w:rPr>
        <w:t xml:space="preserve">ДКЦ Чайка </w:t>
      </w:r>
      <w:r w:rsidR="00036E2C" w:rsidRPr="00FD3526">
        <w:rPr>
          <w:color w:val="000000"/>
          <w:kern w:val="2"/>
        </w:rPr>
        <w:t xml:space="preserve">” </w:t>
      </w:r>
      <w:r w:rsidR="00036E2C">
        <w:rPr>
          <w:color w:val="000000"/>
          <w:kern w:val="2"/>
        </w:rPr>
        <w:t>ЕОО</w:t>
      </w:r>
      <w:r w:rsidR="00036E2C" w:rsidRPr="00FD3526">
        <w:rPr>
          <w:color w:val="000000"/>
          <w:kern w:val="2"/>
        </w:rPr>
        <w:t>Д</w:t>
      </w:r>
      <w:r w:rsidR="00036E2C">
        <w:rPr>
          <w:color w:val="000000"/>
          <w:kern w:val="2"/>
        </w:rPr>
        <w:t xml:space="preserve"> </w:t>
      </w:r>
      <w:r>
        <w:t xml:space="preserve"> </w:t>
      </w:r>
      <w:r w:rsidRPr="00843B65">
        <w:t>има разработена и функционираща система за финансово управление и контрол, включваща политики и процедури с цел да се постигне</w:t>
      </w:r>
      <w:r>
        <w:t xml:space="preserve"> разумна увереност, че целите на дружеството са постигнати чрез:</w:t>
      </w:r>
    </w:p>
    <w:p w14:paraId="1B32AB20" w14:textId="77777777" w:rsidR="00616BF1" w:rsidRDefault="00616BF1" w:rsidP="002228B1">
      <w:pPr>
        <w:numPr>
          <w:ilvl w:val="0"/>
          <w:numId w:val="25"/>
        </w:numPr>
        <w:autoSpaceDE w:val="0"/>
        <w:autoSpaceDN w:val="0"/>
        <w:adjustRightInd w:val="0"/>
        <w:jc w:val="both"/>
      </w:pPr>
      <w:r>
        <w:t>съответствие със законодателството, вътрешните актове и договори;</w:t>
      </w:r>
    </w:p>
    <w:p w14:paraId="01DB97F6" w14:textId="77777777" w:rsidR="00616BF1" w:rsidRDefault="00616BF1" w:rsidP="002228B1">
      <w:pPr>
        <w:numPr>
          <w:ilvl w:val="0"/>
          <w:numId w:val="25"/>
        </w:numPr>
        <w:autoSpaceDE w:val="0"/>
        <w:autoSpaceDN w:val="0"/>
        <w:adjustRightInd w:val="0"/>
        <w:jc w:val="both"/>
      </w:pPr>
      <w:r>
        <w:t>надеждност и всеобхватност на финансовата и оперативната информация;</w:t>
      </w:r>
    </w:p>
    <w:p w14:paraId="606167B8" w14:textId="77777777" w:rsidR="00616BF1" w:rsidRDefault="00616BF1" w:rsidP="002228B1">
      <w:pPr>
        <w:numPr>
          <w:ilvl w:val="0"/>
          <w:numId w:val="25"/>
        </w:numPr>
        <w:autoSpaceDE w:val="0"/>
        <w:autoSpaceDN w:val="0"/>
        <w:adjustRightInd w:val="0"/>
        <w:jc w:val="both"/>
      </w:pPr>
      <w:r>
        <w:t>икономичност, ефективност и ефикасност на дейностите;</w:t>
      </w:r>
    </w:p>
    <w:p w14:paraId="13D4F642" w14:textId="77777777" w:rsidR="00616BF1" w:rsidRDefault="00616BF1" w:rsidP="002228B1">
      <w:pPr>
        <w:numPr>
          <w:ilvl w:val="0"/>
          <w:numId w:val="25"/>
        </w:numPr>
        <w:autoSpaceDE w:val="0"/>
        <w:autoSpaceDN w:val="0"/>
        <w:adjustRightInd w:val="0"/>
        <w:jc w:val="both"/>
      </w:pPr>
      <w:r>
        <w:t>опазване на активите и информацията.</w:t>
      </w:r>
    </w:p>
    <w:p w14:paraId="6BF8087B" w14:textId="77777777" w:rsidR="00616BF1" w:rsidRDefault="00616BF1" w:rsidP="00616BF1">
      <w:pPr>
        <w:autoSpaceDE w:val="0"/>
        <w:autoSpaceDN w:val="0"/>
        <w:adjustRightInd w:val="0"/>
        <w:jc w:val="both"/>
      </w:pPr>
    </w:p>
    <w:p w14:paraId="256A53F7" w14:textId="77777777" w:rsidR="00616BF1" w:rsidRPr="00343852" w:rsidRDefault="00616BF1" w:rsidP="00616BF1">
      <w:pPr>
        <w:autoSpaceDE w:val="0"/>
        <w:autoSpaceDN w:val="0"/>
        <w:adjustRightInd w:val="0"/>
        <w:jc w:val="both"/>
        <w:rPr>
          <w:lang w:val="en-US"/>
        </w:rPr>
      </w:pPr>
      <w:r>
        <w:t>Разработената система</w:t>
      </w:r>
      <w:r w:rsidRPr="00343852">
        <w:t xml:space="preserve"> на „</w:t>
      </w:r>
      <w:r w:rsidR="00036E2C">
        <w:rPr>
          <w:color w:val="000000"/>
          <w:kern w:val="2"/>
        </w:rPr>
        <w:t xml:space="preserve">ДКЦ Чайка </w:t>
      </w:r>
      <w:r w:rsidR="00036E2C" w:rsidRPr="00FD3526">
        <w:rPr>
          <w:color w:val="000000"/>
          <w:kern w:val="2"/>
        </w:rPr>
        <w:t xml:space="preserve">” </w:t>
      </w:r>
      <w:r w:rsidR="00036E2C">
        <w:rPr>
          <w:color w:val="000000"/>
          <w:kern w:val="2"/>
        </w:rPr>
        <w:t>ЕОО</w:t>
      </w:r>
      <w:r w:rsidR="00036E2C" w:rsidRPr="00FD3526">
        <w:rPr>
          <w:color w:val="000000"/>
          <w:kern w:val="2"/>
        </w:rPr>
        <w:t>Д</w:t>
      </w:r>
      <w:r w:rsidR="00036E2C">
        <w:rPr>
          <w:color w:val="000000"/>
          <w:kern w:val="2"/>
        </w:rPr>
        <w:t xml:space="preserve"> </w:t>
      </w:r>
      <w:r w:rsidRPr="00343852">
        <w:t xml:space="preserve"> гарантира правилното идентифициране на рисковете, свързани с дейността на дружеството и подпомага ефективното им управление, обезпечава адекватното функциониране на системите за отчетност и разкриване на информация.</w:t>
      </w:r>
    </w:p>
    <w:p w14:paraId="7B23F92D" w14:textId="77777777" w:rsidR="00616BF1" w:rsidRPr="00343852" w:rsidRDefault="00616BF1" w:rsidP="00616BF1">
      <w:pPr>
        <w:autoSpaceDE w:val="0"/>
        <w:autoSpaceDN w:val="0"/>
        <w:adjustRightInd w:val="0"/>
        <w:jc w:val="both"/>
        <w:rPr>
          <w:lang w:val="en-US"/>
        </w:rPr>
      </w:pPr>
    </w:p>
    <w:p w14:paraId="659B0E46" w14:textId="53AB7491" w:rsidR="00616BF1" w:rsidRPr="00616BF1" w:rsidRDefault="00616BF1" w:rsidP="00616BF1">
      <w:pPr>
        <w:autoSpaceDE w:val="0"/>
        <w:autoSpaceDN w:val="0"/>
        <w:adjustRightInd w:val="0"/>
        <w:ind w:firstLine="60"/>
        <w:jc w:val="both"/>
        <w:rPr>
          <w:b/>
          <w:sz w:val="24"/>
          <w:szCs w:val="24"/>
        </w:rPr>
      </w:pPr>
      <w:r>
        <w:rPr>
          <w:sz w:val="24"/>
          <w:szCs w:val="24"/>
        </w:rPr>
        <w:t xml:space="preserve">Основните елементи и характеристики на системата на </w:t>
      </w:r>
      <w:r w:rsidR="00036E2C" w:rsidRPr="00FD3526">
        <w:rPr>
          <w:color w:val="000000"/>
          <w:kern w:val="2"/>
        </w:rPr>
        <w:t>„</w:t>
      </w:r>
      <w:r w:rsidR="00036E2C">
        <w:rPr>
          <w:color w:val="000000"/>
          <w:kern w:val="2"/>
        </w:rPr>
        <w:t xml:space="preserve">ДКЦ Чайка </w:t>
      </w:r>
      <w:r w:rsidR="00036E2C" w:rsidRPr="00FD3526">
        <w:rPr>
          <w:color w:val="000000"/>
          <w:kern w:val="2"/>
        </w:rPr>
        <w:t xml:space="preserve">” </w:t>
      </w:r>
      <w:r w:rsidR="00036E2C">
        <w:rPr>
          <w:color w:val="000000"/>
          <w:kern w:val="2"/>
        </w:rPr>
        <w:t>ЕОО</w:t>
      </w:r>
      <w:r w:rsidR="00036E2C" w:rsidRPr="00FD3526">
        <w:rPr>
          <w:color w:val="000000"/>
          <w:kern w:val="2"/>
        </w:rPr>
        <w:t>Д</w:t>
      </w:r>
      <w:r w:rsidR="00036E2C">
        <w:rPr>
          <w:color w:val="000000"/>
          <w:kern w:val="2"/>
        </w:rPr>
        <w:t xml:space="preserve">  в</w:t>
      </w:r>
      <w:r>
        <w:rPr>
          <w:sz w:val="24"/>
          <w:szCs w:val="24"/>
        </w:rPr>
        <w:t>ключва следните взаимосвързани елементи:</w:t>
      </w:r>
    </w:p>
    <w:tbl>
      <w:tblPr>
        <w:tblW w:w="10030" w:type="dxa"/>
        <w:tblInd w:w="-459"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Look w:val="04A0" w:firstRow="1" w:lastRow="0" w:firstColumn="1" w:lastColumn="0" w:noHBand="0" w:noVBand="1"/>
      </w:tblPr>
      <w:tblGrid>
        <w:gridCol w:w="2943"/>
        <w:gridCol w:w="7087"/>
      </w:tblGrid>
      <w:tr w:rsidR="00616BF1" w:rsidRPr="002228B1" w14:paraId="082C4ECD" w14:textId="77777777" w:rsidTr="002228B1">
        <w:tc>
          <w:tcPr>
            <w:tcW w:w="2943" w:type="dxa"/>
            <w:tcBorders>
              <w:top w:val="single" w:sz="8" w:space="0" w:color="FFFFFF"/>
              <w:left w:val="single" w:sz="8" w:space="0" w:color="FFFFFF"/>
              <w:bottom w:val="single" w:sz="24" w:space="0" w:color="FFFFFF"/>
              <w:right w:val="single" w:sz="8" w:space="0" w:color="FFFFFF"/>
            </w:tcBorders>
            <w:shd w:val="clear" w:color="auto" w:fill="F79646"/>
          </w:tcPr>
          <w:p w14:paraId="087F8360" w14:textId="77777777" w:rsidR="00616BF1" w:rsidRPr="002228B1" w:rsidRDefault="00616BF1" w:rsidP="002228B1">
            <w:pPr>
              <w:autoSpaceDE w:val="0"/>
              <w:autoSpaceDN w:val="0"/>
              <w:adjustRightInd w:val="0"/>
              <w:jc w:val="center"/>
              <w:rPr>
                <w:rFonts w:eastAsia="Times New Roman" w:cs="Calibri"/>
                <w:b/>
                <w:bCs/>
                <w:color w:val="FFFFFF"/>
                <w:sz w:val="20"/>
                <w:szCs w:val="20"/>
              </w:rPr>
            </w:pPr>
            <w:r w:rsidRPr="002228B1">
              <w:rPr>
                <w:rFonts w:eastAsia="Times New Roman" w:cs="Calibri"/>
                <w:b/>
                <w:bCs/>
                <w:color w:val="FFFFFF"/>
                <w:sz w:val="20"/>
                <w:szCs w:val="20"/>
              </w:rPr>
              <w:t>Елементи</w:t>
            </w:r>
          </w:p>
        </w:tc>
        <w:tc>
          <w:tcPr>
            <w:tcW w:w="7087" w:type="dxa"/>
            <w:tcBorders>
              <w:top w:val="single" w:sz="8" w:space="0" w:color="FFFFFF"/>
              <w:left w:val="single" w:sz="8" w:space="0" w:color="FFFFFF"/>
              <w:bottom w:val="single" w:sz="24" w:space="0" w:color="FFFFFF"/>
              <w:right w:val="single" w:sz="8" w:space="0" w:color="FFFFFF"/>
            </w:tcBorders>
            <w:shd w:val="clear" w:color="auto" w:fill="F79646"/>
          </w:tcPr>
          <w:p w14:paraId="1EDFBB97" w14:textId="77777777" w:rsidR="00616BF1" w:rsidRPr="002228B1" w:rsidRDefault="00616BF1" w:rsidP="002228B1">
            <w:pPr>
              <w:autoSpaceDE w:val="0"/>
              <w:autoSpaceDN w:val="0"/>
              <w:adjustRightInd w:val="0"/>
              <w:jc w:val="center"/>
              <w:rPr>
                <w:rFonts w:eastAsia="Times New Roman" w:cs="Calibri"/>
                <w:b/>
                <w:bCs/>
                <w:color w:val="FFFFFF"/>
                <w:sz w:val="20"/>
                <w:szCs w:val="20"/>
              </w:rPr>
            </w:pPr>
            <w:r w:rsidRPr="002228B1">
              <w:rPr>
                <w:rFonts w:eastAsia="Times New Roman" w:cs="Calibri"/>
                <w:b/>
                <w:bCs/>
                <w:color w:val="FFFFFF"/>
                <w:sz w:val="20"/>
                <w:szCs w:val="20"/>
              </w:rPr>
              <w:t>Принципи</w:t>
            </w:r>
          </w:p>
        </w:tc>
      </w:tr>
      <w:tr w:rsidR="00616BF1" w:rsidRPr="002228B1" w14:paraId="5237479D" w14:textId="77777777" w:rsidTr="002228B1">
        <w:tc>
          <w:tcPr>
            <w:tcW w:w="2943" w:type="dxa"/>
            <w:tcBorders>
              <w:top w:val="single" w:sz="8" w:space="0" w:color="FFFFFF"/>
              <w:left w:val="single" w:sz="8" w:space="0" w:color="FFFFFF"/>
              <w:right w:val="single" w:sz="24" w:space="0" w:color="FFFFFF"/>
            </w:tcBorders>
            <w:shd w:val="clear" w:color="auto" w:fill="F79646"/>
          </w:tcPr>
          <w:p w14:paraId="26D7B1C4" w14:textId="77777777" w:rsidR="00616BF1" w:rsidRPr="00316233" w:rsidRDefault="00616BF1" w:rsidP="002228B1">
            <w:pPr>
              <w:spacing w:after="120"/>
              <w:jc w:val="center"/>
              <w:rPr>
                <w:rFonts w:eastAsia="Times New Roman" w:cs="Calibri"/>
                <w:b/>
                <w:bCs/>
                <w:sz w:val="20"/>
                <w:szCs w:val="20"/>
                <w14:shadow w14:blurRad="50800" w14:dist="38100" w14:dir="2700000" w14:sx="100000" w14:sy="100000" w14:kx="0" w14:ky="0" w14:algn="tl">
                  <w14:srgbClr w14:val="000000">
                    <w14:alpha w14:val="60000"/>
                  </w14:srgbClr>
                </w14:shadow>
                <w14:textFill>
                  <w14:solidFill>
                    <w14:srgbClr w14:val="FFFFFF"/>
                  </w14:solidFill>
                </w14:textFill>
              </w:rPr>
            </w:pPr>
            <w:r w:rsidRPr="00316233">
              <w:rPr>
                <w:rFonts w:eastAsia="Times New Roman" w:cs="Calibri"/>
                <w:b/>
                <w:bCs/>
                <w:sz w:val="20"/>
                <w:szCs w:val="20"/>
                <w14:shadow w14:blurRad="50800" w14:dist="38100" w14:dir="2700000" w14:sx="100000" w14:sy="100000" w14:kx="0" w14:ky="0" w14:algn="tl">
                  <w14:srgbClr w14:val="000000">
                    <w14:alpha w14:val="60000"/>
                  </w14:srgbClr>
                </w14:shadow>
                <w14:textFill>
                  <w14:solidFill>
                    <w14:srgbClr w14:val="FFFFFF"/>
                  </w14:solidFill>
                </w14:textFill>
              </w:rPr>
              <w:t>Контролна среда</w:t>
            </w:r>
          </w:p>
        </w:tc>
        <w:tc>
          <w:tcPr>
            <w:tcW w:w="7087" w:type="dxa"/>
            <w:tcBorders>
              <w:top w:val="single" w:sz="8" w:space="0" w:color="FFFFFF"/>
              <w:left w:val="single" w:sz="8" w:space="0" w:color="FFFFFF"/>
              <w:bottom w:val="single" w:sz="8" w:space="0" w:color="FFFFFF"/>
              <w:right w:val="single" w:sz="8" w:space="0" w:color="FFFFFF"/>
            </w:tcBorders>
            <w:shd w:val="clear" w:color="auto" w:fill="FBCAA2"/>
          </w:tcPr>
          <w:p w14:paraId="3BCB74E2" w14:textId="77777777" w:rsidR="00616BF1" w:rsidRPr="002228B1" w:rsidRDefault="00616BF1" w:rsidP="002228B1">
            <w:pPr>
              <w:jc w:val="both"/>
              <w:rPr>
                <w:rFonts w:cs="Calibri"/>
                <w:sz w:val="20"/>
                <w:szCs w:val="20"/>
              </w:rPr>
            </w:pPr>
            <w:r w:rsidRPr="002228B1">
              <w:rPr>
                <w:rFonts w:cs="Calibri"/>
                <w:sz w:val="20"/>
                <w:szCs w:val="20"/>
              </w:rPr>
              <w:t>1. личната почтеност и професионална етика на ръководството и персонала на организацията;</w:t>
            </w:r>
          </w:p>
          <w:p w14:paraId="074FE34A" w14:textId="77777777" w:rsidR="00616BF1" w:rsidRPr="002228B1" w:rsidRDefault="00616BF1" w:rsidP="002228B1">
            <w:pPr>
              <w:jc w:val="both"/>
              <w:rPr>
                <w:rFonts w:cs="Calibri"/>
                <w:sz w:val="20"/>
                <w:szCs w:val="20"/>
              </w:rPr>
            </w:pPr>
            <w:r w:rsidRPr="002228B1">
              <w:rPr>
                <w:rFonts w:cs="Calibri"/>
                <w:sz w:val="20"/>
                <w:szCs w:val="20"/>
              </w:rPr>
              <w:t>2. управленската философия и стил на работа;</w:t>
            </w:r>
          </w:p>
          <w:p w14:paraId="1ECF318D" w14:textId="77777777" w:rsidR="00616BF1" w:rsidRPr="002228B1" w:rsidRDefault="00616BF1" w:rsidP="002228B1">
            <w:pPr>
              <w:jc w:val="both"/>
              <w:rPr>
                <w:rFonts w:cs="Calibri"/>
                <w:sz w:val="20"/>
                <w:szCs w:val="20"/>
              </w:rPr>
            </w:pPr>
            <w:r w:rsidRPr="002228B1">
              <w:rPr>
                <w:rFonts w:cs="Calibri"/>
                <w:sz w:val="20"/>
                <w:szCs w:val="20"/>
              </w:rPr>
              <w:t>3. организационната структура, осигуряваща разделение на отговорностите, йерархичност и ясни правила, права, задължения и нива на докладване;</w:t>
            </w:r>
          </w:p>
          <w:p w14:paraId="0DACB363" w14:textId="77777777" w:rsidR="00616BF1" w:rsidRPr="002228B1" w:rsidRDefault="00616BF1" w:rsidP="002228B1">
            <w:pPr>
              <w:jc w:val="both"/>
              <w:rPr>
                <w:rFonts w:cs="Calibri"/>
                <w:sz w:val="20"/>
                <w:szCs w:val="20"/>
              </w:rPr>
            </w:pPr>
            <w:r w:rsidRPr="002228B1">
              <w:rPr>
                <w:rFonts w:cs="Calibri"/>
                <w:sz w:val="20"/>
                <w:szCs w:val="20"/>
              </w:rPr>
              <w:t>4. политиките и практиките по управление на човешките ресурси;</w:t>
            </w:r>
          </w:p>
          <w:p w14:paraId="356A832E" w14:textId="77777777" w:rsidR="00616BF1" w:rsidRPr="002228B1" w:rsidRDefault="00616BF1" w:rsidP="002228B1">
            <w:pPr>
              <w:jc w:val="both"/>
              <w:rPr>
                <w:rFonts w:cs="Calibri"/>
                <w:sz w:val="20"/>
                <w:szCs w:val="20"/>
              </w:rPr>
            </w:pPr>
            <w:r w:rsidRPr="002228B1">
              <w:rPr>
                <w:rFonts w:cs="Calibri"/>
                <w:sz w:val="20"/>
                <w:szCs w:val="20"/>
              </w:rPr>
              <w:t>5. компетентността на персонала.</w:t>
            </w:r>
          </w:p>
        </w:tc>
      </w:tr>
      <w:tr w:rsidR="00616BF1" w:rsidRPr="002228B1" w14:paraId="6230672D" w14:textId="77777777" w:rsidTr="002228B1">
        <w:tc>
          <w:tcPr>
            <w:tcW w:w="2943" w:type="dxa"/>
            <w:tcBorders>
              <w:left w:val="single" w:sz="8" w:space="0" w:color="FFFFFF"/>
              <w:right w:val="single" w:sz="24" w:space="0" w:color="FFFFFF"/>
            </w:tcBorders>
            <w:shd w:val="clear" w:color="auto" w:fill="F79646"/>
          </w:tcPr>
          <w:p w14:paraId="2DC32BF3" w14:textId="77777777" w:rsidR="00616BF1" w:rsidRPr="00316233" w:rsidRDefault="00616BF1" w:rsidP="002228B1">
            <w:pPr>
              <w:spacing w:after="120"/>
              <w:jc w:val="center"/>
              <w:rPr>
                <w:rFonts w:eastAsia="Times New Roman" w:cs="Calibri"/>
                <w:b/>
                <w:bCs/>
                <w:sz w:val="20"/>
                <w:szCs w:val="20"/>
                <w14:shadow w14:blurRad="50800" w14:dist="38100" w14:dir="2700000" w14:sx="100000" w14:sy="100000" w14:kx="0" w14:ky="0" w14:algn="tl">
                  <w14:srgbClr w14:val="000000">
                    <w14:alpha w14:val="60000"/>
                  </w14:srgbClr>
                </w14:shadow>
                <w14:textFill>
                  <w14:solidFill>
                    <w14:srgbClr w14:val="FFFFFF"/>
                  </w14:solidFill>
                </w14:textFill>
              </w:rPr>
            </w:pPr>
            <w:r w:rsidRPr="00316233">
              <w:rPr>
                <w:rFonts w:eastAsia="Times New Roman" w:cs="Calibri"/>
                <w:b/>
                <w:bCs/>
                <w:sz w:val="20"/>
                <w:szCs w:val="20"/>
                <w14:shadow w14:blurRad="50800" w14:dist="38100" w14:dir="2700000" w14:sx="100000" w14:sy="100000" w14:kx="0" w14:ky="0" w14:algn="tl">
                  <w14:srgbClr w14:val="000000">
                    <w14:alpha w14:val="60000"/>
                  </w14:srgbClr>
                </w14:shadow>
                <w14:textFill>
                  <w14:solidFill>
                    <w14:srgbClr w14:val="FFFFFF"/>
                  </w14:solidFill>
                </w14:textFill>
              </w:rPr>
              <w:t>Управление на риска</w:t>
            </w:r>
          </w:p>
        </w:tc>
        <w:tc>
          <w:tcPr>
            <w:tcW w:w="7087" w:type="dxa"/>
            <w:shd w:val="clear" w:color="auto" w:fill="FDE4D0"/>
          </w:tcPr>
          <w:p w14:paraId="3379E1EB" w14:textId="77777777" w:rsidR="00616BF1" w:rsidRPr="002228B1" w:rsidRDefault="00616BF1" w:rsidP="002228B1">
            <w:pPr>
              <w:jc w:val="both"/>
              <w:rPr>
                <w:rFonts w:cs="Calibri"/>
                <w:sz w:val="20"/>
                <w:szCs w:val="20"/>
              </w:rPr>
            </w:pPr>
            <w:r w:rsidRPr="002228B1">
              <w:rPr>
                <w:rFonts w:cs="Calibri"/>
                <w:sz w:val="20"/>
                <w:szCs w:val="20"/>
              </w:rPr>
              <w:t>1. идентифициране, оценяване и контролиране на потенциални събития или ситуации, които могат да повлияят негативно върху постигане целите на организацията, и е предназначено да даде разумна увереност, че целите ще бъдат постигнати.</w:t>
            </w:r>
          </w:p>
          <w:p w14:paraId="65DCC9A3" w14:textId="77777777" w:rsidR="00616BF1" w:rsidRPr="002228B1" w:rsidRDefault="00616BF1" w:rsidP="002228B1">
            <w:pPr>
              <w:jc w:val="both"/>
              <w:rPr>
                <w:rFonts w:cs="Calibri"/>
                <w:sz w:val="20"/>
                <w:szCs w:val="20"/>
              </w:rPr>
            </w:pPr>
            <w:r w:rsidRPr="002228B1">
              <w:rPr>
                <w:rFonts w:cs="Calibri"/>
                <w:sz w:val="20"/>
                <w:szCs w:val="20"/>
              </w:rPr>
              <w:t>2. организиране, документиране и докладване пред компетентните органи предприетите мерки за предотвратяване риска от измами и нередности, засягащи финансовите интереси на Европейските общности.</w:t>
            </w:r>
          </w:p>
        </w:tc>
      </w:tr>
      <w:tr w:rsidR="00616BF1" w:rsidRPr="002228B1" w14:paraId="3D1F8797" w14:textId="77777777" w:rsidTr="002228B1">
        <w:tc>
          <w:tcPr>
            <w:tcW w:w="2943" w:type="dxa"/>
            <w:tcBorders>
              <w:top w:val="single" w:sz="8" w:space="0" w:color="FFFFFF"/>
              <w:left w:val="single" w:sz="8" w:space="0" w:color="FFFFFF"/>
              <w:right w:val="single" w:sz="24" w:space="0" w:color="FFFFFF"/>
            </w:tcBorders>
            <w:shd w:val="clear" w:color="auto" w:fill="F79646"/>
          </w:tcPr>
          <w:p w14:paraId="75F317F0" w14:textId="77777777" w:rsidR="00616BF1" w:rsidRPr="00316233" w:rsidRDefault="00616BF1" w:rsidP="002228B1">
            <w:pPr>
              <w:spacing w:after="120"/>
              <w:jc w:val="center"/>
              <w:rPr>
                <w:rFonts w:eastAsia="Times New Roman" w:cs="Calibri"/>
                <w:b/>
                <w:bCs/>
                <w:sz w:val="20"/>
                <w:szCs w:val="20"/>
                <w14:shadow w14:blurRad="50800" w14:dist="38100" w14:dir="2700000" w14:sx="100000" w14:sy="100000" w14:kx="0" w14:ky="0" w14:algn="tl">
                  <w14:srgbClr w14:val="000000">
                    <w14:alpha w14:val="60000"/>
                  </w14:srgbClr>
                </w14:shadow>
                <w14:textFill>
                  <w14:solidFill>
                    <w14:srgbClr w14:val="FFFFFF"/>
                  </w14:solidFill>
                </w14:textFill>
              </w:rPr>
            </w:pPr>
            <w:r w:rsidRPr="00316233">
              <w:rPr>
                <w:rFonts w:eastAsia="Times New Roman" w:cs="Calibri"/>
                <w:b/>
                <w:bCs/>
                <w:sz w:val="20"/>
                <w:szCs w:val="20"/>
                <w14:shadow w14:blurRad="50800" w14:dist="38100" w14:dir="2700000" w14:sx="100000" w14:sy="100000" w14:kx="0" w14:ky="0" w14:algn="tl">
                  <w14:srgbClr w14:val="000000">
                    <w14:alpha w14:val="60000"/>
                  </w14:srgbClr>
                </w14:shadow>
                <w14:textFill>
                  <w14:solidFill>
                    <w14:srgbClr w14:val="FFFFFF"/>
                  </w14:solidFill>
                </w14:textFill>
              </w:rPr>
              <w:t>Контролни дейности</w:t>
            </w:r>
          </w:p>
        </w:tc>
        <w:tc>
          <w:tcPr>
            <w:tcW w:w="7087" w:type="dxa"/>
            <w:tcBorders>
              <w:top w:val="single" w:sz="8" w:space="0" w:color="FFFFFF"/>
              <w:left w:val="single" w:sz="8" w:space="0" w:color="FFFFFF"/>
              <w:bottom w:val="single" w:sz="8" w:space="0" w:color="FFFFFF"/>
              <w:right w:val="single" w:sz="8" w:space="0" w:color="FFFFFF"/>
            </w:tcBorders>
            <w:shd w:val="clear" w:color="auto" w:fill="FBCAA2"/>
          </w:tcPr>
          <w:p w14:paraId="09EA564A" w14:textId="77777777" w:rsidR="00616BF1" w:rsidRPr="002228B1" w:rsidRDefault="00616BF1" w:rsidP="002228B1">
            <w:pPr>
              <w:jc w:val="both"/>
              <w:rPr>
                <w:rFonts w:cs="Calibri"/>
                <w:sz w:val="20"/>
                <w:szCs w:val="20"/>
              </w:rPr>
            </w:pPr>
            <w:r w:rsidRPr="002228B1">
              <w:rPr>
                <w:rFonts w:cs="Calibri"/>
                <w:sz w:val="20"/>
                <w:szCs w:val="20"/>
              </w:rPr>
              <w:t>1. процедури за разрешаване и одобряване;</w:t>
            </w:r>
          </w:p>
          <w:p w14:paraId="7DFD1159" w14:textId="77777777" w:rsidR="00616BF1" w:rsidRPr="002228B1" w:rsidRDefault="00616BF1" w:rsidP="002228B1">
            <w:pPr>
              <w:jc w:val="both"/>
              <w:rPr>
                <w:rFonts w:cs="Calibri"/>
                <w:sz w:val="20"/>
                <w:szCs w:val="20"/>
              </w:rPr>
            </w:pPr>
            <w:r w:rsidRPr="002228B1">
              <w:rPr>
                <w:rFonts w:cs="Calibri"/>
                <w:sz w:val="20"/>
                <w:szCs w:val="20"/>
              </w:rPr>
              <w:t>2. разделяне на отговорностите по начин, който не позволява един служител едновременно да има отговорност по одобряване, изпълнение, осчетоводяване и контрол;</w:t>
            </w:r>
          </w:p>
          <w:p w14:paraId="708F7392" w14:textId="77777777" w:rsidR="00616BF1" w:rsidRPr="002228B1" w:rsidRDefault="00616BF1" w:rsidP="002228B1">
            <w:pPr>
              <w:jc w:val="both"/>
              <w:rPr>
                <w:rFonts w:cs="Calibri"/>
                <w:sz w:val="20"/>
                <w:szCs w:val="20"/>
              </w:rPr>
            </w:pPr>
            <w:r w:rsidRPr="002228B1">
              <w:rPr>
                <w:rFonts w:cs="Calibri"/>
                <w:sz w:val="20"/>
                <w:szCs w:val="20"/>
              </w:rPr>
              <w:t>3. система за двоен подпис, която не разрешава поемането на финансово задължение или извършване на плащане без подписите на ръководителя на организацията и лицето, отговорно за счетоводните записвания;</w:t>
            </w:r>
          </w:p>
          <w:p w14:paraId="4A51AC23" w14:textId="77777777" w:rsidR="00616BF1" w:rsidRPr="002228B1" w:rsidRDefault="00616BF1" w:rsidP="002228B1">
            <w:pPr>
              <w:jc w:val="both"/>
              <w:rPr>
                <w:rFonts w:cs="Calibri"/>
                <w:sz w:val="20"/>
                <w:szCs w:val="20"/>
              </w:rPr>
            </w:pPr>
            <w:r w:rsidRPr="002228B1">
              <w:rPr>
                <w:rFonts w:cs="Calibri"/>
                <w:sz w:val="20"/>
                <w:szCs w:val="20"/>
              </w:rPr>
              <w:t>4. правила за достъп до активите и информацията;</w:t>
            </w:r>
          </w:p>
          <w:p w14:paraId="3A459D8C" w14:textId="77777777" w:rsidR="00616BF1" w:rsidRPr="002228B1" w:rsidRDefault="00616BF1" w:rsidP="002228B1">
            <w:pPr>
              <w:jc w:val="both"/>
              <w:rPr>
                <w:rFonts w:cs="Calibri"/>
                <w:sz w:val="20"/>
                <w:szCs w:val="20"/>
              </w:rPr>
            </w:pPr>
            <w:r w:rsidRPr="002228B1">
              <w:rPr>
                <w:rFonts w:cs="Calibri"/>
                <w:sz w:val="20"/>
                <w:szCs w:val="20"/>
              </w:rPr>
              <w:t>5. предварителен контрол за законосъобразност, който може да се извършва от назначени за целта финансови контрольори или други лица, определени от ръководителя на организацията;</w:t>
            </w:r>
          </w:p>
          <w:p w14:paraId="1BB9CDBE" w14:textId="77777777" w:rsidR="00616BF1" w:rsidRPr="002228B1" w:rsidRDefault="00616BF1" w:rsidP="002228B1">
            <w:pPr>
              <w:jc w:val="both"/>
              <w:rPr>
                <w:rFonts w:cs="Calibri"/>
                <w:sz w:val="20"/>
                <w:szCs w:val="20"/>
              </w:rPr>
            </w:pPr>
            <w:r w:rsidRPr="002228B1">
              <w:rPr>
                <w:rFonts w:cs="Calibri"/>
                <w:sz w:val="20"/>
                <w:szCs w:val="20"/>
              </w:rPr>
              <w:t>6. процедури за пълно, вярно, точно и своевременно осчетоводяване на всички операции;</w:t>
            </w:r>
          </w:p>
          <w:p w14:paraId="4216A93F" w14:textId="77777777" w:rsidR="00616BF1" w:rsidRPr="002228B1" w:rsidRDefault="00616BF1" w:rsidP="002228B1">
            <w:pPr>
              <w:jc w:val="both"/>
              <w:rPr>
                <w:rFonts w:cs="Calibri"/>
                <w:sz w:val="20"/>
                <w:szCs w:val="20"/>
              </w:rPr>
            </w:pPr>
            <w:r w:rsidRPr="002228B1">
              <w:rPr>
                <w:rFonts w:cs="Calibri"/>
                <w:sz w:val="20"/>
                <w:szCs w:val="20"/>
              </w:rPr>
              <w:t>7. докладване и проверка на дейностите - оценка на ефикасността и ефективността на операциите;</w:t>
            </w:r>
          </w:p>
          <w:p w14:paraId="7A67AAB4" w14:textId="77777777" w:rsidR="00616BF1" w:rsidRPr="002228B1" w:rsidRDefault="00616BF1" w:rsidP="002228B1">
            <w:pPr>
              <w:jc w:val="both"/>
              <w:rPr>
                <w:rFonts w:cs="Calibri"/>
                <w:sz w:val="20"/>
                <w:szCs w:val="20"/>
              </w:rPr>
            </w:pPr>
            <w:r w:rsidRPr="002228B1">
              <w:rPr>
                <w:rFonts w:cs="Calibri"/>
                <w:sz w:val="20"/>
                <w:szCs w:val="20"/>
              </w:rPr>
              <w:t>8. процедури за наблюдение;</w:t>
            </w:r>
          </w:p>
          <w:p w14:paraId="760CACE7" w14:textId="77777777" w:rsidR="00616BF1" w:rsidRPr="002228B1" w:rsidRDefault="00616BF1" w:rsidP="002228B1">
            <w:pPr>
              <w:jc w:val="both"/>
              <w:rPr>
                <w:rFonts w:cs="Calibri"/>
                <w:sz w:val="20"/>
                <w:szCs w:val="20"/>
              </w:rPr>
            </w:pPr>
            <w:r w:rsidRPr="002228B1">
              <w:rPr>
                <w:rFonts w:cs="Calibri"/>
                <w:sz w:val="20"/>
                <w:szCs w:val="20"/>
              </w:rPr>
              <w:t>9. правила за управление на човешките ресурси;</w:t>
            </w:r>
          </w:p>
          <w:p w14:paraId="5F522150" w14:textId="77777777" w:rsidR="00616BF1" w:rsidRPr="002228B1" w:rsidRDefault="00616BF1" w:rsidP="002228B1">
            <w:pPr>
              <w:jc w:val="both"/>
              <w:rPr>
                <w:rFonts w:cs="Calibri"/>
                <w:sz w:val="20"/>
                <w:szCs w:val="20"/>
              </w:rPr>
            </w:pPr>
            <w:r w:rsidRPr="002228B1">
              <w:rPr>
                <w:rFonts w:cs="Calibri"/>
                <w:sz w:val="20"/>
                <w:szCs w:val="20"/>
              </w:rPr>
              <w:t>10. правила за документиране на всички операции и действия, свързани с дейността на организацията;</w:t>
            </w:r>
          </w:p>
          <w:p w14:paraId="6CD4DC97" w14:textId="77777777" w:rsidR="00616BF1" w:rsidRPr="002228B1" w:rsidRDefault="00616BF1" w:rsidP="002228B1">
            <w:pPr>
              <w:jc w:val="both"/>
              <w:rPr>
                <w:rFonts w:cs="Calibri"/>
                <w:sz w:val="20"/>
                <w:szCs w:val="20"/>
              </w:rPr>
            </w:pPr>
            <w:r w:rsidRPr="002228B1">
              <w:rPr>
                <w:rFonts w:cs="Calibri"/>
                <w:sz w:val="20"/>
                <w:szCs w:val="20"/>
              </w:rPr>
              <w:t>11. правила за спазване на лична почтеност и професионална етика.</w:t>
            </w:r>
          </w:p>
        </w:tc>
      </w:tr>
      <w:tr w:rsidR="00616BF1" w:rsidRPr="002228B1" w14:paraId="7BD2E52A" w14:textId="77777777" w:rsidTr="002228B1">
        <w:tc>
          <w:tcPr>
            <w:tcW w:w="2943" w:type="dxa"/>
            <w:tcBorders>
              <w:left w:val="single" w:sz="8" w:space="0" w:color="FFFFFF"/>
              <w:right w:val="single" w:sz="24" w:space="0" w:color="FFFFFF"/>
            </w:tcBorders>
            <w:shd w:val="clear" w:color="auto" w:fill="F79646"/>
          </w:tcPr>
          <w:p w14:paraId="7DA173B5" w14:textId="77777777" w:rsidR="00616BF1" w:rsidRPr="002228B1" w:rsidRDefault="00616BF1" w:rsidP="002228B1">
            <w:pPr>
              <w:spacing w:after="120"/>
              <w:jc w:val="center"/>
              <w:rPr>
                <w:rFonts w:eastAsia="Times New Roman" w:cs="Calibri"/>
                <w:b/>
                <w:bCs/>
                <w:color w:val="FFFFFF"/>
                <w:sz w:val="24"/>
                <w:szCs w:val="24"/>
              </w:rPr>
            </w:pPr>
            <w:r w:rsidRPr="00316233">
              <w:rPr>
                <w:rFonts w:eastAsia="Times New Roman" w:cs="Calibri"/>
                <w:b/>
                <w:bCs/>
                <w:sz w:val="20"/>
                <w:szCs w:val="20"/>
                <w14:shadow w14:blurRad="50800" w14:dist="38100" w14:dir="2700000" w14:sx="100000" w14:sy="100000" w14:kx="0" w14:ky="0" w14:algn="tl">
                  <w14:srgbClr w14:val="000000">
                    <w14:alpha w14:val="60000"/>
                  </w14:srgbClr>
                </w14:shadow>
                <w14:textFill>
                  <w14:solidFill>
                    <w14:srgbClr w14:val="FFFFFF"/>
                  </w14:solidFill>
                </w14:textFill>
              </w:rPr>
              <w:t>Информация и комуникация</w:t>
            </w:r>
          </w:p>
        </w:tc>
        <w:tc>
          <w:tcPr>
            <w:tcW w:w="7087" w:type="dxa"/>
            <w:shd w:val="clear" w:color="auto" w:fill="FDE4D0"/>
          </w:tcPr>
          <w:p w14:paraId="35E0EE60" w14:textId="77777777" w:rsidR="00616BF1" w:rsidRPr="002228B1" w:rsidRDefault="00616BF1" w:rsidP="002228B1">
            <w:pPr>
              <w:jc w:val="both"/>
              <w:rPr>
                <w:rFonts w:cs="Calibri"/>
                <w:sz w:val="20"/>
                <w:szCs w:val="20"/>
              </w:rPr>
            </w:pPr>
            <w:r w:rsidRPr="002228B1">
              <w:rPr>
                <w:rFonts w:cs="Calibri"/>
                <w:sz w:val="20"/>
                <w:szCs w:val="20"/>
              </w:rPr>
              <w:t>1. идентифициране, събиране и разпространяване в подходяща форма и срокове на надеждна и достоверна информация, която да позволява на всяко длъжностно лице да поеме определена отговорност;</w:t>
            </w:r>
          </w:p>
          <w:p w14:paraId="1125AA07" w14:textId="77777777" w:rsidR="00616BF1" w:rsidRPr="002228B1" w:rsidRDefault="00616BF1" w:rsidP="002228B1">
            <w:pPr>
              <w:jc w:val="both"/>
              <w:rPr>
                <w:rFonts w:cs="Calibri"/>
                <w:sz w:val="20"/>
                <w:szCs w:val="20"/>
              </w:rPr>
            </w:pPr>
            <w:r w:rsidRPr="002228B1">
              <w:rPr>
                <w:rFonts w:cs="Calibri"/>
                <w:sz w:val="20"/>
                <w:szCs w:val="20"/>
              </w:rPr>
              <w:t>2. ефективна комуникация, която да протича по хоризонтала и вертикала до всички йерархични нива на организацията;</w:t>
            </w:r>
          </w:p>
          <w:p w14:paraId="6CF87727" w14:textId="77777777" w:rsidR="00616BF1" w:rsidRPr="002228B1" w:rsidRDefault="00616BF1" w:rsidP="002228B1">
            <w:pPr>
              <w:jc w:val="both"/>
              <w:rPr>
                <w:rFonts w:cs="Calibri"/>
                <w:sz w:val="20"/>
                <w:szCs w:val="20"/>
              </w:rPr>
            </w:pPr>
            <w:r w:rsidRPr="002228B1">
              <w:rPr>
                <w:rFonts w:cs="Calibri"/>
                <w:sz w:val="20"/>
                <w:szCs w:val="20"/>
              </w:rPr>
              <w:t>3. изграждане на подходяща информационна система за управление на организацията с цел свеждане до знанието на всички служители на ясни и точни указания и разпореждания по отношение на ролята и отговорностите им във връзка с финансовото управление и контрол;</w:t>
            </w:r>
          </w:p>
          <w:p w14:paraId="12FFFE3E" w14:textId="77777777" w:rsidR="00616BF1" w:rsidRPr="002228B1" w:rsidRDefault="00616BF1" w:rsidP="002228B1">
            <w:pPr>
              <w:jc w:val="both"/>
              <w:rPr>
                <w:rFonts w:cs="Calibri"/>
                <w:sz w:val="20"/>
                <w:szCs w:val="20"/>
              </w:rPr>
            </w:pPr>
            <w:r w:rsidRPr="002228B1">
              <w:rPr>
                <w:rFonts w:cs="Calibri"/>
                <w:sz w:val="20"/>
                <w:szCs w:val="20"/>
              </w:rPr>
              <w:t>4. прилагане на система за документиране и документооборот, съдържаща правила за съставяне, оформяне, движение, използване и архивиране на документите;</w:t>
            </w:r>
          </w:p>
          <w:p w14:paraId="01C959BC" w14:textId="77777777" w:rsidR="00616BF1" w:rsidRPr="002228B1" w:rsidRDefault="00616BF1" w:rsidP="002228B1">
            <w:pPr>
              <w:jc w:val="both"/>
              <w:rPr>
                <w:rFonts w:cs="Calibri"/>
                <w:sz w:val="20"/>
                <w:szCs w:val="20"/>
              </w:rPr>
            </w:pPr>
            <w:r w:rsidRPr="002228B1">
              <w:rPr>
                <w:rFonts w:cs="Calibri"/>
                <w:sz w:val="20"/>
                <w:szCs w:val="20"/>
              </w:rPr>
              <w:t>5. документиране на всички операции, процеси и трансакции с цел осигуряване на адекватна одитна пътека за проследимост и наблюдение;</w:t>
            </w:r>
          </w:p>
          <w:p w14:paraId="2484202B" w14:textId="77777777" w:rsidR="00616BF1" w:rsidRPr="002228B1" w:rsidRDefault="00616BF1" w:rsidP="002228B1">
            <w:pPr>
              <w:jc w:val="both"/>
              <w:rPr>
                <w:rFonts w:cs="Calibri"/>
                <w:sz w:val="20"/>
                <w:szCs w:val="20"/>
              </w:rPr>
            </w:pPr>
            <w:r w:rsidRPr="002228B1">
              <w:rPr>
                <w:rFonts w:cs="Calibri"/>
                <w:sz w:val="20"/>
                <w:szCs w:val="20"/>
              </w:rPr>
              <w:t>6. изграждане на ефективна и навременна система за отчетност, включваща: нива и срокове за докладване; видове отчети, които се представят на ръководството; форми на докладване при откриване на грешки, нередности, неправилна употреба, измами или злоупотреба.</w:t>
            </w:r>
          </w:p>
        </w:tc>
      </w:tr>
      <w:tr w:rsidR="00616BF1" w:rsidRPr="002228B1" w14:paraId="4CEB902D" w14:textId="77777777" w:rsidTr="002228B1">
        <w:tc>
          <w:tcPr>
            <w:tcW w:w="2943" w:type="dxa"/>
            <w:tcBorders>
              <w:top w:val="single" w:sz="8" w:space="0" w:color="FFFFFF"/>
              <w:left w:val="single" w:sz="8" w:space="0" w:color="FFFFFF"/>
              <w:bottom w:val="single" w:sz="8" w:space="0" w:color="FFFFFF"/>
              <w:right w:val="single" w:sz="24" w:space="0" w:color="FFFFFF"/>
            </w:tcBorders>
            <w:shd w:val="clear" w:color="auto" w:fill="F79646"/>
          </w:tcPr>
          <w:p w14:paraId="64AE8167" w14:textId="77777777" w:rsidR="00616BF1" w:rsidRPr="00316233" w:rsidRDefault="00616BF1" w:rsidP="002228B1">
            <w:pPr>
              <w:spacing w:after="120"/>
              <w:jc w:val="center"/>
              <w:rPr>
                <w:rFonts w:eastAsia="Times New Roman" w:cs="Calibri"/>
                <w:b/>
                <w:bCs/>
                <w:sz w:val="20"/>
                <w:szCs w:val="20"/>
                <w14:shadow w14:blurRad="50800" w14:dist="38100" w14:dir="2700000" w14:sx="100000" w14:sy="100000" w14:kx="0" w14:ky="0" w14:algn="tl">
                  <w14:srgbClr w14:val="000000">
                    <w14:alpha w14:val="60000"/>
                  </w14:srgbClr>
                </w14:shadow>
                <w14:textFill>
                  <w14:solidFill>
                    <w14:srgbClr w14:val="FFFFFF"/>
                  </w14:solidFill>
                </w14:textFill>
              </w:rPr>
            </w:pPr>
            <w:r w:rsidRPr="00316233">
              <w:rPr>
                <w:rFonts w:eastAsia="Times New Roman" w:cs="Calibri"/>
                <w:b/>
                <w:bCs/>
                <w:sz w:val="20"/>
                <w:szCs w:val="20"/>
                <w14:shadow w14:blurRad="50800" w14:dist="38100" w14:dir="2700000" w14:sx="100000" w14:sy="100000" w14:kx="0" w14:ky="0" w14:algn="tl">
                  <w14:srgbClr w14:val="000000">
                    <w14:alpha w14:val="60000"/>
                  </w14:srgbClr>
                </w14:shadow>
                <w14:textFill>
                  <w14:solidFill>
                    <w14:srgbClr w14:val="FFFFFF"/>
                  </w14:solidFill>
                </w14:textFill>
              </w:rPr>
              <w:t>Мониторинг</w:t>
            </w:r>
          </w:p>
        </w:tc>
        <w:tc>
          <w:tcPr>
            <w:tcW w:w="7087" w:type="dxa"/>
            <w:tcBorders>
              <w:top w:val="single" w:sz="8" w:space="0" w:color="FFFFFF"/>
              <w:left w:val="single" w:sz="8" w:space="0" w:color="FFFFFF"/>
              <w:bottom w:val="single" w:sz="8" w:space="0" w:color="FFFFFF"/>
              <w:right w:val="single" w:sz="8" w:space="0" w:color="FFFFFF"/>
            </w:tcBorders>
            <w:shd w:val="clear" w:color="auto" w:fill="FBCAA2"/>
          </w:tcPr>
          <w:p w14:paraId="15A74415" w14:textId="77777777" w:rsidR="00616BF1" w:rsidRPr="002228B1" w:rsidRDefault="00616BF1" w:rsidP="002228B1">
            <w:pPr>
              <w:jc w:val="both"/>
              <w:rPr>
                <w:rFonts w:cs="Calibri"/>
                <w:sz w:val="20"/>
                <w:szCs w:val="20"/>
              </w:rPr>
            </w:pPr>
            <w:r w:rsidRPr="002228B1">
              <w:rPr>
                <w:rFonts w:cs="Calibri"/>
                <w:sz w:val="20"/>
                <w:szCs w:val="20"/>
              </w:rPr>
              <w:t>1. Текущо наблюдение, самооценка и вътрешен одит</w:t>
            </w:r>
          </w:p>
        </w:tc>
      </w:tr>
    </w:tbl>
    <w:p w14:paraId="0406F12F" w14:textId="77777777" w:rsidR="00616BF1" w:rsidRDefault="00616BF1" w:rsidP="00616BF1">
      <w:pPr>
        <w:autoSpaceDE w:val="0"/>
        <w:autoSpaceDN w:val="0"/>
        <w:adjustRightInd w:val="0"/>
        <w:ind w:firstLine="60"/>
        <w:jc w:val="both"/>
        <w:rPr>
          <w:sz w:val="24"/>
          <w:szCs w:val="24"/>
        </w:rPr>
      </w:pPr>
    </w:p>
    <w:p w14:paraId="195F3B98" w14:textId="77777777" w:rsidR="00616BF1" w:rsidRPr="00815E9D" w:rsidRDefault="00616BF1" w:rsidP="00616BF1">
      <w:pPr>
        <w:autoSpaceDE w:val="0"/>
        <w:autoSpaceDN w:val="0"/>
        <w:adjustRightInd w:val="0"/>
        <w:ind w:firstLine="60"/>
        <w:jc w:val="both"/>
      </w:pPr>
      <w:r w:rsidRPr="00815E9D">
        <w:t>Като част от принципите на мониторинга, вътрешният одит е независима и обективна дейност за предоставяне на увереност и консултиране, предназначена да носи полза и да подобрява дейността на дружеството. Вътрешният одит помага на организацията да постигне целите си чрез прилагането на систематичен и дисциплиниран подход за оценяване и подобряване ефективността на процесите за управление на риска, контрол и управление. На о</w:t>
      </w:r>
      <w:r w:rsidR="007D18DC">
        <w:t>снование чл. 12, ал. 1 и ал. 2</w:t>
      </w:r>
      <w:r w:rsidR="007D18DC">
        <w:rPr>
          <w:lang w:val="en-US"/>
        </w:rPr>
        <w:t xml:space="preserve"> </w:t>
      </w:r>
      <w:r w:rsidRPr="00815E9D">
        <w:t xml:space="preserve"> от Закона за вътрешния одит в публичния сектор </w:t>
      </w:r>
      <w:r w:rsidR="00036E2C" w:rsidRPr="00FD3526">
        <w:rPr>
          <w:color w:val="000000"/>
          <w:kern w:val="2"/>
        </w:rPr>
        <w:t>„</w:t>
      </w:r>
      <w:r w:rsidR="00036E2C">
        <w:rPr>
          <w:color w:val="000000"/>
          <w:kern w:val="2"/>
        </w:rPr>
        <w:t xml:space="preserve">ДКЦ Чайка </w:t>
      </w:r>
      <w:r w:rsidR="00036E2C" w:rsidRPr="00FD3526">
        <w:rPr>
          <w:color w:val="000000"/>
          <w:kern w:val="2"/>
        </w:rPr>
        <w:t xml:space="preserve">” </w:t>
      </w:r>
      <w:r w:rsidR="00036E2C">
        <w:rPr>
          <w:color w:val="000000"/>
          <w:kern w:val="2"/>
        </w:rPr>
        <w:t>ЕОО</w:t>
      </w:r>
      <w:r w:rsidR="00036E2C" w:rsidRPr="00FD3526">
        <w:rPr>
          <w:color w:val="000000"/>
          <w:kern w:val="2"/>
        </w:rPr>
        <w:t>Д</w:t>
      </w:r>
      <w:r w:rsidR="00036E2C">
        <w:rPr>
          <w:color w:val="000000"/>
          <w:kern w:val="2"/>
        </w:rPr>
        <w:t xml:space="preserve"> </w:t>
      </w:r>
      <w:r w:rsidRPr="00815E9D">
        <w:t xml:space="preserve"> </w:t>
      </w:r>
      <w:r w:rsidR="00DE7393">
        <w:t>разработва</w:t>
      </w:r>
      <w:r w:rsidRPr="00815E9D">
        <w:t xml:space="preserve"> звено за вътрешен одит с основни функции и задачи да:</w:t>
      </w:r>
    </w:p>
    <w:p w14:paraId="757DED70" w14:textId="77777777" w:rsidR="00616BF1" w:rsidRPr="00815E9D" w:rsidRDefault="00616BF1" w:rsidP="002228B1">
      <w:pPr>
        <w:numPr>
          <w:ilvl w:val="0"/>
          <w:numId w:val="27"/>
        </w:numPr>
        <w:autoSpaceDE w:val="0"/>
        <w:autoSpaceDN w:val="0"/>
        <w:adjustRightInd w:val="0"/>
        <w:jc w:val="both"/>
      </w:pPr>
      <w:r w:rsidRPr="00815E9D">
        <w:t>идентифицира и оценява рисковете в дружеството;</w:t>
      </w:r>
    </w:p>
    <w:p w14:paraId="7B0ADCDE" w14:textId="77777777" w:rsidR="00616BF1" w:rsidRPr="00815E9D" w:rsidRDefault="00616BF1" w:rsidP="002228B1">
      <w:pPr>
        <w:numPr>
          <w:ilvl w:val="0"/>
          <w:numId w:val="27"/>
        </w:numPr>
        <w:autoSpaceDE w:val="0"/>
        <w:autoSpaceDN w:val="0"/>
        <w:adjustRightInd w:val="0"/>
        <w:jc w:val="both"/>
      </w:pPr>
      <w:r w:rsidRPr="00815E9D">
        <w:t>оценява адекватността и ефективността на системите за финансово управление и контрол по отношение на:</w:t>
      </w:r>
    </w:p>
    <w:p w14:paraId="6AC8222A" w14:textId="77777777" w:rsidR="00616BF1" w:rsidRPr="00815E9D" w:rsidRDefault="00616BF1" w:rsidP="002228B1">
      <w:pPr>
        <w:numPr>
          <w:ilvl w:val="1"/>
          <w:numId w:val="26"/>
        </w:numPr>
        <w:autoSpaceDE w:val="0"/>
        <w:autoSpaceDN w:val="0"/>
        <w:adjustRightInd w:val="0"/>
        <w:jc w:val="both"/>
      </w:pPr>
      <w:r w:rsidRPr="00815E9D">
        <w:t>идентифицирането, оценяването и управлението на риска от ръководството на дружеството;</w:t>
      </w:r>
    </w:p>
    <w:p w14:paraId="1AD3864B" w14:textId="77777777" w:rsidR="00616BF1" w:rsidRPr="00815E9D" w:rsidRDefault="00616BF1" w:rsidP="002228B1">
      <w:pPr>
        <w:numPr>
          <w:ilvl w:val="1"/>
          <w:numId w:val="26"/>
        </w:numPr>
        <w:autoSpaceDE w:val="0"/>
        <w:autoSpaceDN w:val="0"/>
        <w:adjustRightInd w:val="0"/>
        <w:jc w:val="both"/>
      </w:pPr>
      <w:r w:rsidRPr="00815E9D">
        <w:t>съответствието със законодателството, вътрешните актове и договорите;</w:t>
      </w:r>
    </w:p>
    <w:p w14:paraId="3FD3A76A" w14:textId="77777777" w:rsidR="00616BF1" w:rsidRPr="00815E9D" w:rsidRDefault="00616BF1" w:rsidP="002228B1">
      <w:pPr>
        <w:numPr>
          <w:ilvl w:val="1"/>
          <w:numId w:val="26"/>
        </w:numPr>
        <w:autoSpaceDE w:val="0"/>
        <w:autoSpaceDN w:val="0"/>
        <w:adjustRightInd w:val="0"/>
        <w:jc w:val="both"/>
      </w:pPr>
      <w:r w:rsidRPr="00815E9D">
        <w:t>надеждността и всеобхватността на финансовата и оперативната информация;</w:t>
      </w:r>
    </w:p>
    <w:p w14:paraId="35CA61E1" w14:textId="77777777" w:rsidR="00616BF1" w:rsidRPr="00815E9D" w:rsidRDefault="00616BF1" w:rsidP="002228B1">
      <w:pPr>
        <w:numPr>
          <w:ilvl w:val="1"/>
          <w:numId w:val="26"/>
        </w:numPr>
        <w:autoSpaceDE w:val="0"/>
        <w:autoSpaceDN w:val="0"/>
        <w:adjustRightInd w:val="0"/>
        <w:jc w:val="both"/>
      </w:pPr>
      <w:r w:rsidRPr="00815E9D">
        <w:t>ефективността, ефикасността и икономичността на дейностите;</w:t>
      </w:r>
    </w:p>
    <w:p w14:paraId="3019BC72" w14:textId="77777777" w:rsidR="00616BF1" w:rsidRPr="00815E9D" w:rsidRDefault="00616BF1" w:rsidP="002228B1">
      <w:pPr>
        <w:numPr>
          <w:ilvl w:val="1"/>
          <w:numId w:val="26"/>
        </w:numPr>
        <w:autoSpaceDE w:val="0"/>
        <w:autoSpaceDN w:val="0"/>
        <w:adjustRightInd w:val="0"/>
        <w:jc w:val="both"/>
      </w:pPr>
      <w:r w:rsidRPr="00815E9D">
        <w:t>опазването на активите и информацията;</w:t>
      </w:r>
    </w:p>
    <w:p w14:paraId="665F34BB" w14:textId="77777777" w:rsidR="00616BF1" w:rsidRPr="00815E9D" w:rsidRDefault="00616BF1" w:rsidP="002228B1">
      <w:pPr>
        <w:numPr>
          <w:ilvl w:val="1"/>
          <w:numId w:val="26"/>
        </w:numPr>
        <w:autoSpaceDE w:val="0"/>
        <w:autoSpaceDN w:val="0"/>
        <w:adjustRightInd w:val="0"/>
        <w:jc w:val="both"/>
      </w:pPr>
      <w:r w:rsidRPr="00815E9D">
        <w:t>изпълнението на задачите и постигането на целите;</w:t>
      </w:r>
    </w:p>
    <w:p w14:paraId="6D76E989" w14:textId="77777777" w:rsidR="00616BF1" w:rsidRPr="00815E9D" w:rsidRDefault="00616BF1" w:rsidP="002228B1">
      <w:pPr>
        <w:numPr>
          <w:ilvl w:val="0"/>
          <w:numId w:val="27"/>
        </w:numPr>
        <w:autoSpaceDE w:val="0"/>
        <w:autoSpaceDN w:val="0"/>
        <w:adjustRightInd w:val="0"/>
        <w:jc w:val="both"/>
      </w:pPr>
      <w:r w:rsidRPr="00815E9D">
        <w:t>дава препоръки за подобряване на дейностите в дружеството.</w:t>
      </w:r>
    </w:p>
    <w:p w14:paraId="05EA136D" w14:textId="77777777" w:rsidR="00616BF1" w:rsidRPr="00815E9D" w:rsidRDefault="00616BF1" w:rsidP="00616BF1">
      <w:pPr>
        <w:jc w:val="both"/>
      </w:pPr>
    </w:p>
    <w:p w14:paraId="7FF7EA60" w14:textId="77777777" w:rsidR="00616BF1" w:rsidRPr="00815E9D" w:rsidRDefault="00616BF1" w:rsidP="00616BF1">
      <w:pPr>
        <w:jc w:val="both"/>
      </w:pPr>
      <w:r w:rsidRPr="00815E9D">
        <w:t>Една от основните цели на системата за финансово управление и контрол и звеното за вътрешен одит е да подпомага мениджмънта и други заинтересовани страни при оценка надеждността на финансовите отчети на дружеството.</w:t>
      </w:r>
    </w:p>
    <w:p w14:paraId="64E76467" w14:textId="77777777" w:rsidR="00616BF1" w:rsidRPr="00815E9D" w:rsidRDefault="00616BF1" w:rsidP="00616BF1">
      <w:pPr>
        <w:jc w:val="both"/>
      </w:pPr>
    </w:p>
    <w:p w14:paraId="1C03A341" w14:textId="75E14FC0" w:rsidR="00616BF1" w:rsidRPr="00815E9D" w:rsidRDefault="00616BF1" w:rsidP="00616BF1">
      <w:pPr>
        <w:jc w:val="both"/>
      </w:pPr>
      <w:r w:rsidRPr="00815E9D">
        <w:t>Основните характеристики на системата за финансово управление и контрол  в процеса на изго</w:t>
      </w:r>
      <w:r w:rsidR="00960117">
        <w:t xml:space="preserve">твяне на финансовия отчет за </w:t>
      </w:r>
      <w:r w:rsidR="00487716">
        <w:t>2021</w:t>
      </w:r>
      <w:r w:rsidRPr="00815E9D">
        <w:t>г., са:</w:t>
      </w:r>
    </w:p>
    <w:tbl>
      <w:tblPr>
        <w:tblW w:w="0" w:type="auto"/>
        <w:tblBorders>
          <w:top w:val="double" w:sz="4" w:space="0" w:color="E36C0A"/>
          <w:left w:val="double" w:sz="4" w:space="0" w:color="E36C0A"/>
          <w:bottom w:val="double" w:sz="4" w:space="0" w:color="E36C0A"/>
          <w:right w:val="double" w:sz="4" w:space="0" w:color="E36C0A"/>
          <w:insideH w:val="double" w:sz="4" w:space="0" w:color="E36C0A"/>
          <w:insideV w:val="double" w:sz="4" w:space="0" w:color="E36C0A"/>
        </w:tblBorders>
        <w:tblLook w:val="04A0" w:firstRow="1" w:lastRow="0" w:firstColumn="1" w:lastColumn="0" w:noHBand="0" w:noVBand="1"/>
      </w:tblPr>
      <w:tblGrid>
        <w:gridCol w:w="3369"/>
        <w:gridCol w:w="6269"/>
      </w:tblGrid>
      <w:tr w:rsidR="00616BF1" w:rsidRPr="00815E9D" w14:paraId="7259EE1C" w14:textId="77777777" w:rsidTr="002228B1">
        <w:tc>
          <w:tcPr>
            <w:tcW w:w="3369" w:type="dxa"/>
            <w:shd w:val="clear" w:color="auto" w:fill="E36C0A"/>
          </w:tcPr>
          <w:p w14:paraId="529AB44D" w14:textId="77777777" w:rsidR="00616BF1" w:rsidRPr="00815E9D" w:rsidRDefault="00616BF1" w:rsidP="002228B1">
            <w:pPr>
              <w:jc w:val="center"/>
              <w:rPr>
                <w:b/>
                <w:color w:val="FFFFFF"/>
              </w:rPr>
            </w:pPr>
            <w:r w:rsidRPr="00815E9D">
              <w:rPr>
                <w:b/>
                <w:color w:val="FFFFFF"/>
              </w:rPr>
              <w:t>Компоненти</w:t>
            </w:r>
          </w:p>
        </w:tc>
        <w:tc>
          <w:tcPr>
            <w:tcW w:w="6269" w:type="dxa"/>
            <w:shd w:val="clear" w:color="auto" w:fill="E36C0A"/>
          </w:tcPr>
          <w:p w14:paraId="1403D6F3" w14:textId="77777777" w:rsidR="00616BF1" w:rsidRPr="00815E9D" w:rsidRDefault="00616BF1" w:rsidP="002228B1">
            <w:pPr>
              <w:jc w:val="center"/>
              <w:rPr>
                <w:b/>
                <w:color w:val="FFFFFF"/>
              </w:rPr>
            </w:pPr>
            <w:r w:rsidRPr="00815E9D">
              <w:rPr>
                <w:b/>
                <w:color w:val="FFFFFF"/>
              </w:rPr>
              <w:t>Принципи</w:t>
            </w:r>
          </w:p>
        </w:tc>
      </w:tr>
      <w:tr w:rsidR="00616BF1" w:rsidRPr="00815E9D" w14:paraId="0374C056" w14:textId="77777777" w:rsidTr="002228B1">
        <w:tc>
          <w:tcPr>
            <w:tcW w:w="3369" w:type="dxa"/>
            <w:shd w:val="clear" w:color="auto" w:fill="auto"/>
          </w:tcPr>
          <w:p w14:paraId="7F108D19" w14:textId="77777777" w:rsidR="00616BF1" w:rsidRPr="00815E9D" w:rsidRDefault="00616BF1" w:rsidP="002228B1">
            <w:pPr>
              <w:jc w:val="both"/>
            </w:pPr>
            <w:r w:rsidRPr="00815E9D">
              <w:t>Среда на контрол</w:t>
            </w:r>
          </w:p>
        </w:tc>
        <w:tc>
          <w:tcPr>
            <w:tcW w:w="6269" w:type="dxa"/>
            <w:shd w:val="clear" w:color="auto" w:fill="auto"/>
          </w:tcPr>
          <w:p w14:paraId="3901EBB2" w14:textId="77777777" w:rsidR="00616BF1" w:rsidRPr="00815E9D" w:rsidRDefault="00616BF1" w:rsidP="002228B1">
            <w:pPr>
              <w:jc w:val="both"/>
            </w:pPr>
            <w:r w:rsidRPr="00815E9D">
              <w:t>Определяне на средата, в която дружеството функционира:</w:t>
            </w:r>
          </w:p>
          <w:p w14:paraId="19BBEFFF" w14:textId="77777777" w:rsidR="00616BF1" w:rsidRPr="00815E9D" w:rsidRDefault="00616BF1" w:rsidP="002228B1">
            <w:pPr>
              <w:numPr>
                <w:ilvl w:val="0"/>
                <w:numId w:val="16"/>
              </w:numPr>
              <w:tabs>
                <w:tab w:val="left" w:pos="318"/>
              </w:tabs>
              <w:ind w:left="318" w:hanging="284"/>
              <w:jc w:val="both"/>
            </w:pPr>
            <w:r w:rsidRPr="00815E9D">
              <w:t>индустия, регулаторни фактори, обща рамка за финансово отчитане;</w:t>
            </w:r>
          </w:p>
          <w:p w14:paraId="59F2C56E" w14:textId="77777777" w:rsidR="00616BF1" w:rsidRPr="00815E9D" w:rsidRDefault="00616BF1" w:rsidP="002228B1">
            <w:pPr>
              <w:numPr>
                <w:ilvl w:val="0"/>
                <w:numId w:val="16"/>
              </w:numPr>
              <w:tabs>
                <w:tab w:val="left" w:pos="318"/>
              </w:tabs>
              <w:ind w:left="318" w:hanging="284"/>
              <w:jc w:val="both"/>
            </w:pPr>
            <w:r w:rsidRPr="00815E9D">
              <w:t>естеството на предприятието – дейност, собственост, организационно – управленска структура, инвестиционна политика, структура на финансиране;</w:t>
            </w:r>
          </w:p>
          <w:p w14:paraId="518CE4DA" w14:textId="77777777" w:rsidR="00616BF1" w:rsidRPr="00815E9D" w:rsidRDefault="00616BF1" w:rsidP="002228B1">
            <w:pPr>
              <w:numPr>
                <w:ilvl w:val="0"/>
                <w:numId w:val="16"/>
              </w:numPr>
              <w:tabs>
                <w:tab w:val="left" w:pos="318"/>
              </w:tabs>
              <w:ind w:left="318" w:hanging="284"/>
              <w:jc w:val="both"/>
            </w:pPr>
            <w:r w:rsidRPr="00815E9D">
              <w:t>избор и прилагане на счетоводната политика;</w:t>
            </w:r>
          </w:p>
          <w:p w14:paraId="25345B82" w14:textId="77777777" w:rsidR="00616BF1" w:rsidRPr="00815E9D" w:rsidRDefault="00616BF1" w:rsidP="002228B1">
            <w:pPr>
              <w:numPr>
                <w:ilvl w:val="0"/>
                <w:numId w:val="16"/>
              </w:numPr>
              <w:tabs>
                <w:tab w:val="left" w:pos="318"/>
              </w:tabs>
              <w:ind w:left="318" w:hanging="284"/>
              <w:jc w:val="both"/>
            </w:pPr>
            <w:r w:rsidRPr="00815E9D">
              <w:t>бизнес намерения / бизнес програма и  резултати;</w:t>
            </w:r>
          </w:p>
          <w:p w14:paraId="64A75BAC" w14:textId="77777777" w:rsidR="00616BF1" w:rsidRPr="00815E9D" w:rsidRDefault="00616BF1" w:rsidP="002228B1">
            <w:pPr>
              <w:numPr>
                <w:ilvl w:val="0"/>
                <w:numId w:val="16"/>
              </w:numPr>
              <w:tabs>
                <w:tab w:val="left" w:pos="318"/>
              </w:tabs>
              <w:ind w:left="318" w:hanging="284"/>
              <w:jc w:val="both"/>
            </w:pPr>
            <w:r w:rsidRPr="00815E9D">
              <w:t>оценка на финансовите показатели.</w:t>
            </w:r>
          </w:p>
        </w:tc>
      </w:tr>
      <w:tr w:rsidR="00616BF1" w:rsidRPr="00815E9D" w14:paraId="62819E3F" w14:textId="77777777" w:rsidTr="002228B1">
        <w:tc>
          <w:tcPr>
            <w:tcW w:w="3369" w:type="dxa"/>
            <w:shd w:val="clear" w:color="auto" w:fill="auto"/>
          </w:tcPr>
          <w:p w14:paraId="31035778" w14:textId="77777777" w:rsidR="00616BF1" w:rsidRPr="00815E9D" w:rsidRDefault="00616BF1" w:rsidP="002228B1">
            <w:pPr>
              <w:jc w:val="both"/>
            </w:pPr>
            <w:r w:rsidRPr="00815E9D">
              <w:t>Оценка на риска</w:t>
            </w:r>
          </w:p>
        </w:tc>
        <w:tc>
          <w:tcPr>
            <w:tcW w:w="6269" w:type="dxa"/>
            <w:shd w:val="clear" w:color="auto" w:fill="auto"/>
          </w:tcPr>
          <w:p w14:paraId="683F6138" w14:textId="77777777" w:rsidR="00616BF1" w:rsidRPr="00815E9D" w:rsidRDefault="00616BF1" w:rsidP="002228B1">
            <w:pPr>
              <w:jc w:val="both"/>
            </w:pPr>
            <w:r w:rsidRPr="00815E9D">
              <w:t>Идентифициране и оценка на рисковете от съществени отклонения на ниво „финансов отчет“ и „вярност на отчитане на сделки и операции, салда по сметки и оповестявания“.</w:t>
            </w:r>
          </w:p>
        </w:tc>
      </w:tr>
      <w:tr w:rsidR="00616BF1" w:rsidRPr="00815E9D" w14:paraId="2F93FE5E" w14:textId="77777777" w:rsidTr="002228B1">
        <w:tc>
          <w:tcPr>
            <w:tcW w:w="3369" w:type="dxa"/>
            <w:shd w:val="clear" w:color="auto" w:fill="auto"/>
          </w:tcPr>
          <w:p w14:paraId="21A0CF39" w14:textId="77777777" w:rsidR="00616BF1" w:rsidRPr="00815E9D" w:rsidRDefault="00616BF1" w:rsidP="002228B1">
            <w:pPr>
              <w:jc w:val="both"/>
            </w:pPr>
            <w:r w:rsidRPr="00815E9D">
              <w:t>Контрол на дейностите</w:t>
            </w:r>
          </w:p>
        </w:tc>
        <w:tc>
          <w:tcPr>
            <w:tcW w:w="6269" w:type="dxa"/>
            <w:shd w:val="clear" w:color="auto" w:fill="auto"/>
          </w:tcPr>
          <w:p w14:paraId="313A8C9C" w14:textId="77777777" w:rsidR="00616BF1" w:rsidRPr="00815E9D" w:rsidRDefault="00616BF1" w:rsidP="002228B1">
            <w:pPr>
              <w:jc w:val="both"/>
            </w:pPr>
            <w:r w:rsidRPr="00815E9D">
              <w:t>Спазване на правилата и процедури, кореспондиращи с:</w:t>
            </w:r>
          </w:p>
          <w:p w14:paraId="2E30FA6A" w14:textId="77777777" w:rsidR="00616BF1" w:rsidRPr="00815E9D" w:rsidRDefault="00616BF1" w:rsidP="002228B1">
            <w:pPr>
              <w:numPr>
                <w:ilvl w:val="0"/>
                <w:numId w:val="17"/>
              </w:numPr>
              <w:ind w:left="317" w:hanging="284"/>
              <w:jc w:val="both"/>
            </w:pPr>
            <w:r w:rsidRPr="00815E9D">
              <w:t>Оторизацията;</w:t>
            </w:r>
          </w:p>
          <w:p w14:paraId="280381C3" w14:textId="77777777" w:rsidR="00616BF1" w:rsidRPr="00815E9D" w:rsidRDefault="00616BF1" w:rsidP="002228B1">
            <w:pPr>
              <w:numPr>
                <w:ilvl w:val="0"/>
                <w:numId w:val="17"/>
              </w:numPr>
              <w:ind w:left="317" w:hanging="284"/>
              <w:jc w:val="both"/>
            </w:pPr>
            <w:r w:rsidRPr="00815E9D">
              <w:t>Прегледите на резултатите от дейността;</w:t>
            </w:r>
          </w:p>
          <w:p w14:paraId="2995D3BB" w14:textId="77777777" w:rsidR="00616BF1" w:rsidRPr="00815E9D" w:rsidRDefault="00616BF1" w:rsidP="002228B1">
            <w:pPr>
              <w:numPr>
                <w:ilvl w:val="0"/>
                <w:numId w:val="17"/>
              </w:numPr>
              <w:ind w:left="317" w:hanging="284"/>
              <w:jc w:val="both"/>
            </w:pPr>
            <w:r w:rsidRPr="00815E9D">
              <w:t>Обработка на информацията;</w:t>
            </w:r>
          </w:p>
          <w:p w14:paraId="73E8881E" w14:textId="77777777" w:rsidR="00616BF1" w:rsidRPr="00815E9D" w:rsidRDefault="00616BF1" w:rsidP="002228B1">
            <w:pPr>
              <w:numPr>
                <w:ilvl w:val="0"/>
                <w:numId w:val="17"/>
              </w:numPr>
              <w:ind w:left="317" w:hanging="284"/>
              <w:jc w:val="both"/>
            </w:pPr>
            <w:r w:rsidRPr="00815E9D">
              <w:t>Физическите контроли;</w:t>
            </w:r>
          </w:p>
          <w:p w14:paraId="3ABAE946" w14:textId="77777777" w:rsidR="00616BF1" w:rsidRPr="00815E9D" w:rsidRDefault="00616BF1" w:rsidP="002228B1">
            <w:pPr>
              <w:numPr>
                <w:ilvl w:val="0"/>
                <w:numId w:val="17"/>
              </w:numPr>
              <w:ind w:left="317" w:hanging="284"/>
              <w:jc w:val="both"/>
            </w:pPr>
            <w:r w:rsidRPr="00815E9D">
              <w:t>Разпределение на задълженията</w:t>
            </w:r>
          </w:p>
        </w:tc>
      </w:tr>
      <w:tr w:rsidR="00616BF1" w:rsidRPr="00815E9D" w14:paraId="665ED6A0" w14:textId="77777777" w:rsidTr="002228B1">
        <w:tc>
          <w:tcPr>
            <w:tcW w:w="3369" w:type="dxa"/>
            <w:shd w:val="clear" w:color="auto" w:fill="auto"/>
          </w:tcPr>
          <w:p w14:paraId="5B92311E" w14:textId="77777777" w:rsidR="00616BF1" w:rsidRPr="00815E9D" w:rsidRDefault="00616BF1" w:rsidP="002228B1">
            <w:pPr>
              <w:jc w:val="both"/>
            </w:pPr>
            <w:r w:rsidRPr="00815E9D">
              <w:t>Информация и комуникация</w:t>
            </w:r>
          </w:p>
        </w:tc>
        <w:tc>
          <w:tcPr>
            <w:tcW w:w="6269" w:type="dxa"/>
            <w:shd w:val="clear" w:color="auto" w:fill="auto"/>
          </w:tcPr>
          <w:p w14:paraId="127324FE" w14:textId="77777777" w:rsidR="00616BF1" w:rsidRPr="00815E9D" w:rsidRDefault="00616BF1" w:rsidP="002228B1">
            <w:pPr>
              <w:jc w:val="both"/>
            </w:pPr>
            <w:r w:rsidRPr="00815E9D">
              <w:t xml:space="preserve">Прилагане на информационните системи – автоматизирани или неавтоматизирани за: иницииране, отразяване, обработка и отчитане на сделки и операции или други финансови данни, включени във финансовия отчет; осигуряване и навременност, наличие и точност на информацията, анализ, текущо наблюдение на резултатите от дейността, политиките и процедурите, ефективното разпределение на задълженията чрез приложимите системи за сигурност в приложимите </w:t>
            </w:r>
            <w:r w:rsidRPr="00815E9D">
              <w:lastRenderedPageBreak/>
              <w:t>програми, бази данни и операционна система, вътрешния и външния обмен на информацията.</w:t>
            </w:r>
          </w:p>
        </w:tc>
      </w:tr>
      <w:tr w:rsidR="00616BF1" w:rsidRPr="00815E9D" w14:paraId="105CBF50" w14:textId="77777777" w:rsidTr="002228B1">
        <w:tc>
          <w:tcPr>
            <w:tcW w:w="3369" w:type="dxa"/>
            <w:shd w:val="clear" w:color="auto" w:fill="auto"/>
          </w:tcPr>
          <w:p w14:paraId="5F5C945C" w14:textId="77777777" w:rsidR="00616BF1" w:rsidRPr="00815E9D" w:rsidRDefault="00616BF1" w:rsidP="002228B1">
            <w:pPr>
              <w:jc w:val="both"/>
            </w:pPr>
            <w:r w:rsidRPr="00815E9D">
              <w:lastRenderedPageBreak/>
              <w:t>Дейности по мониторинга</w:t>
            </w:r>
          </w:p>
        </w:tc>
        <w:tc>
          <w:tcPr>
            <w:tcW w:w="6269" w:type="dxa"/>
            <w:shd w:val="clear" w:color="auto" w:fill="auto"/>
          </w:tcPr>
          <w:p w14:paraId="7DB47E43" w14:textId="77777777" w:rsidR="00616BF1" w:rsidRPr="00815E9D" w:rsidRDefault="00616BF1" w:rsidP="002228B1">
            <w:pPr>
              <w:jc w:val="both"/>
            </w:pPr>
            <w:r w:rsidRPr="00815E9D">
              <w:t>Текущо наблюдение на въведените системи и контроли, тяхната ефективност във времето, извеждане на проблеми или очертаване на области, нуждаещи се от подобрение.</w:t>
            </w:r>
          </w:p>
        </w:tc>
      </w:tr>
    </w:tbl>
    <w:p w14:paraId="512413FD" w14:textId="77777777" w:rsidR="00C6648E" w:rsidRDefault="00C6648E" w:rsidP="00270FDE">
      <w:pPr>
        <w:jc w:val="both"/>
        <w:rPr>
          <w:sz w:val="24"/>
          <w:szCs w:val="24"/>
        </w:rPr>
      </w:pPr>
    </w:p>
    <w:p w14:paraId="701FA607" w14:textId="2B2E13B8" w:rsidR="005218FD" w:rsidRPr="00316233" w:rsidRDefault="005218FD" w:rsidP="002228B1">
      <w:pPr>
        <w:pStyle w:val="NoSpacing"/>
        <w:shd w:val="clear" w:color="auto" w:fill="E36C0A"/>
        <w:autoSpaceDE w:val="0"/>
        <w:autoSpaceDN w:val="0"/>
        <w:adjustRightInd w:val="0"/>
        <w:jc w:val="both"/>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pPr>
      <w:r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X</w:t>
      </w:r>
      <w:r w:rsidR="00B7505B"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VIII</w:t>
      </w:r>
      <w:r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ПРОМЕНИ В УПРАВИТЕЛНИТЕ И НАДЗОРНИТЕ ОРГАНИ (</w:t>
      </w:r>
      <w:r w:rsidR="00C222B8"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съгл. </w:t>
      </w:r>
      <w:r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т. 16 от Приложение № </w:t>
      </w:r>
      <w:r w:rsidR="00E7012F">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2</w:t>
      </w:r>
      <w:r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w:t>
      </w:r>
    </w:p>
    <w:p w14:paraId="09314193" w14:textId="7F0D460B" w:rsidR="005218FD" w:rsidRDefault="002C59B9" w:rsidP="00DE7373">
      <w:pPr>
        <w:tabs>
          <w:tab w:val="left" w:pos="567"/>
          <w:tab w:val="left" w:pos="2880"/>
        </w:tabs>
        <w:ind w:right="114"/>
        <w:jc w:val="both"/>
        <w:rPr>
          <w:color w:val="000000"/>
          <w:kern w:val="2"/>
        </w:rPr>
      </w:pPr>
      <w:r>
        <w:rPr>
          <w:color w:val="000000"/>
          <w:kern w:val="2"/>
        </w:rPr>
        <w:t xml:space="preserve">През отчетната </w:t>
      </w:r>
      <w:r w:rsidR="00487716">
        <w:rPr>
          <w:color w:val="000000"/>
          <w:kern w:val="2"/>
        </w:rPr>
        <w:t>2021</w:t>
      </w:r>
      <w:r w:rsidR="005218FD">
        <w:rPr>
          <w:color w:val="000000"/>
          <w:kern w:val="2"/>
        </w:rPr>
        <w:t xml:space="preserve">г. в  управителните и надзорните органи на </w:t>
      </w:r>
      <w:r w:rsidR="005218FD" w:rsidRPr="00FD3526">
        <w:rPr>
          <w:color w:val="000000"/>
          <w:kern w:val="2"/>
        </w:rPr>
        <w:t>„</w:t>
      </w:r>
      <w:r w:rsidR="005B5B42">
        <w:rPr>
          <w:color w:val="000000"/>
          <w:kern w:val="2"/>
        </w:rPr>
        <w:t xml:space="preserve">ДКЦ Чайка </w:t>
      </w:r>
      <w:r w:rsidR="005B5B42" w:rsidRPr="00FD3526">
        <w:rPr>
          <w:color w:val="000000"/>
          <w:kern w:val="2"/>
        </w:rPr>
        <w:t xml:space="preserve">” </w:t>
      </w:r>
      <w:r w:rsidR="005B5B42">
        <w:rPr>
          <w:color w:val="000000"/>
          <w:kern w:val="2"/>
        </w:rPr>
        <w:t>ЕОО</w:t>
      </w:r>
      <w:r w:rsidR="005B5B42" w:rsidRPr="00FD3526">
        <w:rPr>
          <w:color w:val="000000"/>
          <w:kern w:val="2"/>
        </w:rPr>
        <w:t>Д</w:t>
      </w:r>
      <w:r w:rsidR="00DE7373">
        <w:rPr>
          <w:color w:val="000000"/>
          <w:kern w:val="2"/>
        </w:rPr>
        <w:t xml:space="preserve"> не </w:t>
      </w:r>
      <w:r w:rsidR="00B7505B">
        <w:rPr>
          <w:color w:val="000000"/>
          <w:kern w:val="2"/>
        </w:rPr>
        <w:t xml:space="preserve"> </w:t>
      </w:r>
      <w:r w:rsidR="005218FD">
        <w:rPr>
          <w:color w:val="000000"/>
          <w:kern w:val="2"/>
        </w:rPr>
        <w:t xml:space="preserve"> са настъпили </w:t>
      </w:r>
      <w:r w:rsidR="00DE7373">
        <w:rPr>
          <w:color w:val="000000"/>
          <w:kern w:val="2"/>
        </w:rPr>
        <w:t xml:space="preserve"> промени</w:t>
      </w:r>
      <w:r w:rsidR="00DE7373">
        <w:t>.</w:t>
      </w:r>
      <w:r w:rsidR="00DE7373">
        <w:rPr>
          <w:color w:val="000000"/>
          <w:kern w:val="2"/>
        </w:rPr>
        <w:t xml:space="preserve"> </w:t>
      </w:r>
    </w:p>
    <w:p w14:paraId="41AD4E96" w14:textId="77777777" w:rsidR="00757417" w:rsidRDefault="00757417" w:rsidP="00270FDE">
      <w:pPr>
        <w:jc w:val="both"/>
        <w:rPr>
          <w:color w:val="000000"/>
          <w:kern w:val="2"/>
        </w:rPr>
      </w:pPr>
    </w:p>
    <w:p w14:paraId="30ACB473" w14:textId="2591A07F" w:rsidR="00152816" w:rsidRPr="00316233" w:rsidRDefault="00152816" w:rsidP="002228B1">
      <w:pPr>
        <w:pStyle w:val="NoSpacing"/>
        <w:shd w:val="clear" w:color="auto" w:fill="E36C0A"/>
        <w:autoSpaceDE w:val="0"/>
        <w:autoSpaceDN w:val="0"/>
        <w:adjustRightInd w:val="0"/>
        <w:jc w:val="both"/>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pPr>
      <w:r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X</w:t>
      </w:r>
      <w:r w:rsidR="00B7505B"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IX</w:t>
      </w:r>
      <w:r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 РАЗМЕР НА ВЪЗНАГРАЖДЕНИЯТА, НАГРАДИТЕ И/ИЛИ ПОЛЗИТЕ НА ВСЕКИ ОТ ЧЛЕНОВЕТЕ НА УПРАВИТЕЛНИТЕ И КОНТРОЛНИТЕ ОРГАНИ (т. 17 от Приложение № </w:t>
      </w:r>
      <w:r w:rsidR="00E7012F">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2</w:t>
      </w:r>
      <w:r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w:t>
      </w:r>
    </w:p>
    <w:p w14:paraId="6C935F17" w14:textId="77777777" w:rsidR="00130342" w:rsidRDefault="00130342" w:rsidP="00152816">
      <w:pPr>
        <w:jc w:val="both"/>
        <w:rPr>
          <w:color w:val="000000"/>
          <w:kern w:val="2"/>
        </w:rPr>
      </w:pPr>
    </w:p>
    <w:p w14:paraId="6CB3E1D9" w14:textId="6FF4B78A" w:rsidR="00B7505B" w:rsidRDefault="00130342" w:rsidP="002228B1">
      <w:pPr>
        <w:numPr>
          <w:ilvl w:val="0"/>
          <w:numId w:val="8"/>
        </w:numPr>
        <w:ind w:right="181"/>
        <w:jc w:val="both"/>
        <w:rPr>
          <w:rFonts w:cs="Arial"/>
          <w:b/>
          <w:bCs/>
          <w:i/>
          <w:iCs/>
          <w:color w:val="000000"/>
        </w:rPr>
      </w:pPr>
      <w:r w:rsidRPr="005825A7">
        <w:rPr>
          <w:rFonts w:cs="Arial"/>
          <w:b/>
          <w:bCs/>
          <w:i/>
          <w:iCs/>
          <w:color w:val="000000"/>
        </w:rPr>
        <w:t xml:space="preserve">Информация за </w:t>
      </w:r>
      <w:r w:rsidR="00B5637A">
        <w:rPr>
          <w:rFonts w:cs="Arial"/>
          <w:b/>
          <w:bCs/>
          <w:i/>
          <w:iCs/>
          <w:color w:val="000000"/>
        </w:rPr>
        <w:t xml:space="preserve">начислени и </w:t>
      </w:r>
      <w:r>
        <w:rPr>
          <w:rFonts w:cs="Arial"/>
          <w:b/>
          <w:bCs/>
          <w:i/>
          <w:iCs/>
          <w:color w:val="000000"/>
        </w:rPr>
        <w:t xml:space="preserve">получени възнаграждения на членовете на управителните и контролните органи на </w:t>
      </w:r>
      <w:r w:rsidR="005B5B42" w:rsidRPr="00FD3526">
        <w:rPr>
          <w:color w:val="000000"/>
          <w:kern w:val="2"/>
        </w:rPr>
        <w:t>„</w:t>
      </w:r>
      <w:r w:rsidR="005B5B42">
        <w:rPr>
          <w:color w:val="000000"/>
          <w:kern w:val="2"/>
        </w:rPr>
        <w:t xml:space="preserve">ДКЦ Чайка </w:t>
      </w:r>
      <w:r w:rsidR="005B5B42" w:rsidRPr="00FD3526">
        <w:rPr>
          <w:color w:val="000000"/>
          <w:kern w:val="2"/>
        </w:rPr>
        <w:t xml:space="preserve">” </w:t>
      </w:r>
      <w:r w:rsidR="005B5B42">
        <w:rPr>
          <w:color w:val="000000"/>
          <w:kern w:val="2"/>
        </w:rPr>
        <w:t>ЕОО</w:t>
      </w:r>
      <w:r w:rsidR="005B5B42" w:rsidRPr="00FD3526">
        <w:rPr>
          <w:color w:val="000000"/>
          <w:kern w:val="2"/>
        </w:rPr>
        <w:t>Д</w:t>
      </w:r>
      <w:r w:rsidRPr="005825A7">
        <w:rPr>
          <w:rFonts w:cs="Arial"/>
          <w:b/>
          <w:bCs/>
          <w:i/>
          <w:iCs/>
          <w:color w:val="000000"/>
        </w:rPr>
        <w:t>:</w:t>
      </w:r>
    </w:p>
    <w:p w14:paraId="4BEC42A2" w14:textId="77777777" w:rsidR="00130342" w:rsidRPr="00B7505B" w:rsidRDefault="00130342" w:rsidP="00B7505B">
      <w:pPr>
        <w:ind w:right="181"/>
        <w:jc w:val="both"/>
        <w:rPr>
          <w:rFonts w:cs="Arial"/>
          <w:b/>
          <w:bCs/>
          <w:i/>
          <w:iCs/>
          <w:color w:val="000000"/>
        </w:rPr>
      </w:pPr>
    </w:p>
    <w:tbl>
      <w:tblPr>
        <w:tblW w:w="0" w:type="auto"/>
        <w:jc w:val="center"/>
        <w:tblBorders>
          <w:top w:val="double" w:sz="4" w:space="0" w:color="E36C0A"/>
          <w:left w:val="double" w:sz="4" w:space="0" w:color="E36C0A"/>
          <w:bottom w:val="double" w:sz="4" w:space="0" w:color="E36C0A"/>
          <w:right w:val="double" w:sz="4" w:space="0" w:color="E36C0A"/>
          <w:insideH w:val="double" w:sz="4" w:space="0" w:color="E36C0A"/>
          <w:insideV w:val="double" w:sz="4" w:space="0" w:color="E36C0A"/>
        </w:tblBorders>
        <w:tblLook w:val="0000" w:firstRow="0" w:lastRow="0" w:firstColumn="0" w:lastColumn="0" w:noHBand="0" w:noVBand="0"/>
      </w:tblPr>
      <w:tblGrid>
        <w:gridCol w:w="3995"/>
        <w:gridCol w:w="1685"/>
        <w:gridCol w:w="2130"/>
      </w:tblGrid>
      <w:tr w:rsidR="00130342" w:rsidRPr="00F51E2A" w14:paraId="00BAE234" w14:textId="77777777" w:rsidTr="002228B1">
        <w:trPr>
          <w:jc w:val="center"/>
        </w:trPr>
        <w:tc>
          <w:tcPr>
            <w:tcW w:w="3995" w:type="dxa"/>
            <w:shd w:val="clear" w:color="auto" w:fill="E36C0A"/>
            <w:vAlign w:val="center"/>
          </w:tcPr>
          <w:p w14:paraId="41C523FB" w14:textId="77777777" w:rsidR="00130342" w:rsidRPr="00F51E2A" w:rsidRDefault="00130342" w:rsidP="00130342">
            <w:pPr>
              <w:pStyle w:val="Heading7"/>
              <w:spacing w:before="0" w:after="0"/>
              <w:jc w:val="center"/>
              <w:rPr>
                <w:rFonts w:cs="Calibri"/>
                <w:b/>
                <w:bCs/>
                <w:i/>
                <w:color w:val="FFFFFF"/>
                <w:sz w:val="22"/>
                <w:szCs w:val="22"/>
              </w:rPr>
            </w:pPr>
            <w:r w:rsidRPr="00F51E2A">
              <w:rPr>
                <w:rFonts w:cs="Calibri"/>
                <w:b/>
                <w:bCs/>
                <w:i/>
                <w:color w:val="FFFFFF"/>
                <w:sz w:val="22"/>
                <w:szCs w:val="22"/>
              </w:rPr>
              <w:t>Получател</w:t>
            </w:r>
          </w:p>
        </w:tc>
        <w:tc>
          <w:tcPr>
            <w:tcW w:w="1685" w:type="dxa"/>
            <w:shd w:val="clear" w:color="auto" w:fill="E36C0A"/>
            <w:vAlign w:val="center"/>
          </w:tcPr>
          <w:p w14:paraId="430239F0" w14:textId="77777777" w:rsidR="00130342" w:rsidRPr="00F51E2A" w:rsidRDefault="00130342" w:rsidP="00130342">
            <w:pPr>
              <w:pStyle w:val="Heading7"/>
              <w:spacing w:before="0" w:after="0"/>
              <w:jc w:val="center"/>
              <w:rPr>
                <w:rFonts w:cs="Calibri"/>
                <w:b/>
                <w:bCs/>
                <w:i/>
                <w:color w:val="FFFFFF"/>
                <w:sz w:val="22"/>
                <w:szCs w:val="22"/>
              </w:rPr>
            </w:pPr>
            <w:r w:rsidRPr="00F51E2A">
              <w:rPr>
                <w:rFonts w:cs="Calibri"/>
                <w:b/>
                <w:bCs/>
                <w:i/>
                <w:color w:val="FFFFFF"/>
                <w:sz w:val="22"/>
                <w:szCs w:val="22"/>
              </w:rPr>
              <w:t xml:space="preserve">Сума в лева </w:t>
            </w:r>
          </w:p>
        </w:tc>
        <w:tc>
          <w:tcPr>
            <w:tcW w:w="2130" w:type="dxa"/>
            <w:shd w:val="clear" w:color="auto" w:fill="E36C0A"/>
            <w:vAlign w:val="center"/>
          </w:tcPr>
          <w:p w14:paraId="4775794A" w14:textId="77777777" w:rsidR="00130342" w:rsidRPr="00F51E2A" w:rsidRDefault="00130342" w:rsidP="00130342">
            <w:pPr>
              <w:pStyle w:val="Heading7"/>
              <w:spacing w:before="0" w:after="0"/>
              <w:jc w:val="center"/>
              <w:rPr>
                <w:rFonts w:cs="Calibri"/>
                <w:b/>
                <w:bCs/>
                <w:i/>
                <w:color w:val="FFFFFF"/>
                <w:sz w:val="22"/>
                <w:szCs w:val="22"/>
              </w:rPr>
            </w:pPr>
            <w:r w:rsidRPr="00F51E2A">
              <w:rPr>
                <w:rFonts w:cs="Calibri"/>
                <w:b/>
                <w:bCs/>
                <w:i/>
                <w:color w:val="FFFFFF"/>
                <w:sz w:val="22"/>
                <w:szCs w:val="22"/>
              </w:rPr>
              <w:t>Основание</w:t>
            </w:r>
          </w:p>
        </w:tc>
      </w:tr>
      <w:tr w:rsidR="00130342" w:rsidRPr="00F51E2A" w14:paraId="2128FB8A" w14:textId="77777777" w:rsidTr="002228B1">
        <w:trPr>
          <w:jc w:val="center"/>
        </w:trPr>
        <w:tc>
          <w:tcPr>
            <w:tcW w:w="3995" w:type="dxa"/>
          </w:tcPr>
          <w:p w14:paraId="1C84A1F6" w14:textId="77777777" w:rsidR="00130342" w:rsidRPr="00F51E2A" w:rsidRDefault="00B7505B" w:rsidP="00130342">
            <w:pPr>
              <w:rPr>
                <w:rFonts w:cs="Calibri"/>
                <w:lang w:val="be-BY"/>
              </w:rPr>
            </w:pPr>
            <w:r>
              <w:rPr>
                <w:rFonts w:cs="Calibri"/>
                <w:lang w:val="be-BY"/>
              </w:rPr>
              <w:t>Управител</w:t>
            </w:r>
          </w:p>
        </w:tc>
        <w:tc>
          <w:tcPr>
            <w:tcW w:w="1685" w:type="dxa"/>
            <w:vAlign w:val="center"/>
          </w:tcPr>
          <w:p w14:paraId="27460F45" w14:textId="5C305205" w:rsidR="00130342" w:rsidRPr="00D058A7" w:rsidRDefault="00D058A7" w:rsidP="00BF08C0">
            <w:pPr>
              <w:pStyle w:val="Heading7"/>
              <w:spacing w:before="0" w:after="0"/>
              <w:jc w:val="center"/>
              <w:rPr>
                <w:rFonts w:cs="Calibri"/>
                <w:sz w:val="22"/>
                <w:szCs w:val="22"/>
              </w:rPr>
            </w:pPr>
            <w:r w:rsidRPr="00D058A7">
              <w:rPr>
                <w:rFonts w:cs="Calibri"/>
                <w:sz w:val="22"/>
                <w:szCs w:val="22"/>
              </w:rPr>
              <w:t>78068,47</w:t>
            </w:r>
          </w:p>
        </w:tc>
        <w:tc>
          <w:tcPr>
            <w:tcW w:w="2130" w:type="dxa"/>
          </w:tcPr>
          <w:p w14:paraId="45C4922F" w14:textId="77777777" w:rsidR="00130342" w:rsidRPr="00951B5F" w:rsidRDefault="00951B5F" w:rsidP="007B0BD6">
            <w:pPr>
              <w:pStyle w:val="Heading7"/>
              <w:spacing w:before="0" w:after="0"/>
              <w:jc w:val="center"/>
              <w:rPr>
                <w:rFonts w:cs="Calibri"/>
                <w:sz w:val="22"/>
                <w:szCs w:val="22"/>
              </w:rPr>
            </w:pPr>
            <w:r>
              <w:rPr>
                <w:rFonts w:cs="Calibri"/>
                <w:sz w:val="22"/>
                <w:szCs w:val="22"/>
              </w:rPr>
              <w:t>Договор</w:t>
            </w:r>
          </w:p>
        </w:tc>
      </w:tr>
      <w:tr w:rsidR="001201F6" w:rsidRPr="00F51E2A" w14:paraId="08571B77" w14:textId="77777777" w:rsidTr="002228B1">
        <w:trPr>
          <w:jc w:val="center"/>
        </w:trPr>
        <w:tc>
          <w:tcPr>
            <w:tcW w:w="3995" w:type="dxa"/>
          </w:tcPr>
          <w:p w14:paraId="3C46B2DA" w14:textId="686181B8" w:rsidR="001201F6" w:rsidRPr="00F51E2A" w:rsidRDefault="001201F6" w:rsidP="001201F6">
            <w:pPr>
              <w:rPr>
                <w:rFonts w:cs="Calibri"/>
                <w:lang w:val="be-BY"/>
              </w:rPr>
            </w:pPr>
            <w:r w:rsidRPr="00467EA2">
              <w:rPr>
                <w:rFonts w:cs="Calibri"/>
                <w:lang w:val="be-BY"/>
              </w:rPr>
              <w:t>Контрольор</w:t>
            </w:r>
            <w:r w:rsidR="00F267DF" w:rsidRPr="00467EA2">
              <w:rPr>
                <w:rFonts w:cs="Calibri"/>
                <w:lang w:val="be-BY"/>
              </w:rPr>
              <w:t xml:space="preserve"> (начислени)</w:t>
            </w:r>
          </w:p>
        </w:tc>
        <w:tc>
          <w:tcPr>
            <w:tcW w:w="1685" w:type="dxa"/>
            <w:vAlign w:val="center"/>
          </w:tcPr>
          <w:p w14:paraId="7F48273D" w14:textId="73C2AC59" w:rsidR="001201F6" w:rsidRPr="00D058A7" w:rsidRDefault="00D058A7" w:rsidP="001201F6">
            <w:pPr>
              <w:pStyle w:val="Heading7"/>
              <w:spacing w:before="0" w:after="0"/>
              <w:jc w:val="center"/>
              <w:rPr>
                <w:rFonts w:cs="Calibri"/>
                <w:sz w:val="22"/>
                <w:szCs w:val="22"/>
              </w:rPr>
            </w:pPr>
            <w:r w:rsidRPr="00D058A7">
              <w:rPr>
                <w:rFonts w:cs="Calibri"/>
                <w:sz w:val="22"/>
                <w:szCs w:val="22"/>
              </w:rPr>
              <w:t>15600</w:t>
            </w:r>
          </w:p>
        </w:tc>
        <w:tc>
          <w:tcPr>
            <w:tcW w:w="2130" w:type="dxa"/>
          </w:tcPr>
          <w:p w14:paraId="0E164B65" w14:textId="77777777" w:rsidR="001201F6" w:rsidRPr="00951B5F" w:rsidRDefault="001201F6" w:rsidP="001201F6">
            <w:pPr>
              <w:pStyle w:val="Heading7"/>
              <w:spacing w:before="0" w:after="0"/>
              <w:jc w:val="center"/>
              <w:rPr>
                <w:rFonts w:cs="Calibri"/>
                <w:sz w:val="22"/>
                <w:szCs w:val="22"/>
              </w:rPr>
            </w:pPr>
            <w:r>
              <w:rPr>
                <w:rFonts w:cs="Calibri"/>
                <w:sz w:val="22"/>
                <w:szCs w:val="22"/>
              </w:rPr>
              <w:t>Договор</w:t>
            </w:r>
          </w:p>
        </w:tc>
      </w:tr>
    </w:tbl>
    <w:p w14:paraId="10C5596F" w14:textId="77777777" w:rsidR="00130342" w:rsidRPr="00B7505B" w:rsidRDefault="007579EF" w:rsidP="00B7505B">
      <w:pPr>
        <w:tabs>
          <w:tab w:val="left" w:pos="1080"/>
        </w:tabs>
        <w:jc w:val="both"/>
        <w:rPr>
          <w:rFonts w:cs="Calibri"/>
          <w:color w:val="000000"/>
          <w:kern w:val="2"/>
        </w:rPr>
      </w:pPr>
      <w:r w:rsidRPr="00F51E2A">
        <w:rPr>
          <w:rFonts w:cs="Calibri"/>
          <w:color w:val="000000"/>
          <w:kern w:val="2"/>
        </w:rPr>
        <w:tab/>
      </w:r>
    </w:p>
    <w:p w14:paraId="7E04A973" w14:textId="4DC465C4" w:rsidR="00B7505B" w:rsidRDefault="00765961" w:rsidP="002228B1">
      <w:pPr>
        <w:numPr>
          <w:ilvl w:val="0"/>
          <w:numId w:val="8"/>
        </w:numPr>
        <w:ind w:right="181"/>
        <w:jc w:val="both"/>
        <w:rPr>
          <w:rFonts w:cs="Arial"/>
          <w:b/>
          <w:bCs/>
          <w:i/>
          <w:iCs/>
          <w:color w:val="000000"/>
        </w:rPr>
      </w:pPr>
      <w:r w:rsidRPr="00B7505B">
        <w:rPr>
          <w:rFonts w:cs="Arial"/>
          <w:b/>
          <w:bCs/>
          <w:i/>
          <w:iCs/>
          <w:color w:val="000000"/>
        </w:rPr>
        <w:t xml:space="preserve">Информация за получените непарични възнаграждения на членовете на управителните и контролните органи на </w:t>
      </w:r>
      <w:r w:rsidR="005B5B42">
        <w:rPr>
          <w:rFonts w:cs="Arial"/>
          <w:b/>
          <w:bCs/>
          <w:i/>
          <w:iCs/>
          <w:color w:val="000000"/>
        </w:rPr>
        <w:t xml:space="preserve"> </w:t>
      </w:r>
      <w:r w:rsidR="005B5B42" w:rsidRPr="00FD3526">
        <w:rPr>
          <w:color w:val="000000"/>
          <w:kern w:val="2"/>
        </w:rPr>
        <w:t>„</w:t>
      </w:r>
      <w:r w:rsidR="005B5B42">
        <w:rPr>
          <w:color w:val="000000"/>
          <w:kern w:val="2"/>
        </w:rPr>
        <w:t xml:space="preserve">ДКЦ Чайка </w:t>
      </w:r>
      <w:r w:rsidR="005B5B42" w:rsidRPr="00FD3526">
        <w:rPr>
          <w:color w:val="000000"/>
          <w:kern w:val="2"/>
        </w:rPr>
        <w:t xml:space="preserve">” </w:t>
      </w:r>
      <w:r w:rsidR="005B5B42">
        <w:rPr>
          <w:color w:val="000000"/>
          <w:kern w:val="2"/>
        </w:rPr>
        <w:t>ЕОО</w:t>
      </w:r>
      <w:r w:rsidR="005B5B42" w:rsidRPr="00FD3526">
        <w:rPr>
          <w:color w:val="000000"/>
          <w:kern w:val="2"/>
        </w:rPr>
        <w:t>Д</w:t>
      </w:r>
      <w:r w:rsidR="005B5B42">
        <w:rPr>
          <w:color w:val="000000"/>
          <w:kern w:val="2"/>
        </w:rPr>
        <w:t xml:space="preserve"> </w:t>
      </w:r>
      <w:r w:rsidRPr="00B7505B">
        <w:rPr>
          <w:rFonts w:cs="Arial"/>
          <w:b/>
          <w:bCs/>
          <w:i/>
          <w:iCs/>
          <w:color w:val="000000"/>
        </w:rPr>
        <w:t>:</w:t>
      </w:r>
      <w:r w:rsidR="00BF44B5">
        <w:rPr>
          <w:rFonts w:cs="Arial"/>
          <w:b/>
          <w:bCs/>
          <w:i/>
          <w:iCs/>
          <w:color w:val="000000"/>
        </w:rPr>
        <w:t xml:space="preserve"> </w:t>
      </w:r>
      <w:r w:rsidR="00331DF2">
        <w:rPr>
          <w:rFonts w:cs="Arial"/>
          <w:b/>
          <w:bCs/>
          <w:i/>
          <w:iCs/>
          <w:color w:val="000000"/>
        </w:rPr>
        <w:t>Няма такива</w:t>
      </w:r>
    </w:p>
    <w:p w14:paraId="13E58E7A" w14:textId="267CFB39" w:rsidR="00765961" w:rsidRDefault="00765961" w:rsidP="002228B1">
      <w:pPr>
        <w:numPr>
          <w:ilvl w:val="0"/>
          <w:numId w:val="8"/>
        </w:numPr>
        <w:ind w:right="181"/>
        <w:jc w:val="both"/>
        <w:rPr>
          <w:rFonts w:cs="Arial"/>
          <w:b/>
          <w:bCs/>
          <w:i/>
          <w:iCs/>
          <w:color w:val="000000"/>
        </w:rPr>
      </w:pPr>
      <w:r w:rsidRPr="00B7505B">
        <w:rPr>
          <w:rFonts w:cs="Arial"/>
          <w:b/>
          <w:bCs/>
          <w:i/>
          <w:iCs/>
          <w:color w:val="000000"/>
        </w:rPr>
        <w:t xml:space="preserve">Информация за условни възнаграждения, възникнали през годината на членовете на управителните и контролните органи на </w:t>
      </w:r>
      <w:r w:rsidR="00331DF2" w:rsidRPr="00FD3526">
        <w:rPr>
          <w:color w:val="000000"/>
          <w:kern w:val="2"/>
        </w:rPr>
        <w:t>„</w:t>
      </w:r>
      <w:r w:rsidR="00331DF2">
        <w:rPr>
          <w:color w:val="000000"/>
          <w:kern w:val="2"/>
        </w:rPr>
        <w:t xml:space="preserve">ДКЦ Чайка </w:t>
      </w:r>
      <w:r w:rsidR="00331DF2" w:rsidRPr="00FD3526">
        <w:rPr>
          <w:color w:val="000000"/>
          <w:kern w:val="2"/>
        </w:rPr>
        <w:t xml:space="preserve">” </w:t>
      </w:r>
      <w:r w:rsidR="00331DF2">
        <w:rPr>
          <w:color w:val="000000"/>
          <w:kern w:val="2"/>
        </w:rPr>
        <w:t>ЕОО</w:t>
      </w:r>
      <w:r w:rsidR="00331DF2" w:rsidRPr="00FD3526">
        <w:rPr>
          <w:color w:val="000000"/>
          <w:kern w:val="2"/>
        </w:rPr>
        <w:t>Д</w:t>
      </w:r>
      <w:r w:rsidRPr="00B7505B">
        <w:rPr>
          <w:rFonts w:cs="Arial"/>
          <w:b/>
          <w:bCs/>
          <w:i/>
          <w:iCs/>
          <w:color w:val="000000"/>
        </w:rPr>
        <w:t>:</w:t>
      </w:r>
      <w:r w:rsidR="00BF44B5">
        <w:rPr>
          <w:rFonts w:cs="Arial"/>
          <w:b/>
          <w:bCs/>
          <w:i/>
          <w:iCs/>
          <w:color w:val="000000"/>
        </w:rPr>
        <w:t xml:space="preserve"> </w:t>
      </w:r>
      <w:r w:rsidR="00331DF2">
        <w:rPr>
          <w:rFonts w:cs="Arial"/>
          <w:b/>
          <w:bCs/>
          <w:i/>
          <w:iCs/>
          <w:color w:val="000000"/>
        </w:rPr>
        <w:t>Няма такива</w:t>
      </w:r>
    </w:p>
    <w:p w14:paraId="68978ECC" w14:textId="5D07BA62" w:rsidR="00765961" w:rsidRDefault="00765961" w:rsidP="002228B1">
      <w:pPr>
        <w:numPr>
          <w:ilvl w:val="0"/>
          <w:numId w:val="8"/>
        </w:numPr>
        <w:ind w:right="181"/>
        <w:jc w:val="both"/>
        <w:rPr>
          <w:rFonts w:cs="Arial"/>
          <w:b/>
          <w:bCs/>
          <w:i/>
          <w:iCs/>
          <w:color w:val="000000"/>
        </w:rPr>
      </w:pPr>
      <w:r w:rsidRPr="005825A7">
        <w:rPr>
          <w:rFonts w:cs="Arial"/>
          <w:b/>
          <w:bCs/>
          <w:i/>
          <w:iCs/>
          <w:color w:val="000000"/>
        </w:rPr>
        <w:t xml:space="preserve">Информация за </w:t>
      </w:r>
      <w:r>
        <w:rPr>
          <w:rFonts w:cs="Arial"/>
          <w:b/>
          <w:bCs/>
          <w:i/>
          <w:iCs/>
          <w:color w:val="000000"/>
        </w:rPr>
        <w:t xml:space="preserve">разсрочени възнаграждения, възникнали през годината на членовете на управителните и контролните органи на </w:t>
      </w:r>
      <w:r w:rsidR="00331DF2" w:rsidRPr="00FD3526">
        <w:rPr>
          <w:color w:val="000000"/>
          <w:kern w:val="2"/>
        </w:rPr>
        <w:t>„</w:t>
      </w:r>
      <w:r w:rsidR="00331DF2">
        <w:rPr>
          <w:color w:val="000000"/>
          <w:kern w:val="2"/>
        </w:rPr>
        <w:t xml:space="preserve">ДКЦ Чайка </w:t>
      </w:r>
      <w:r w:rsidR="00331DF2" w:rsidRPr="00FD3526">
        <w:rPr>
          <w:color w:val="000000"/>
          <w:kern w:val="2"/>
        </w:rPr>
        <w:t xml:space="preserve">” </w:t>
      </w:r>
      <w:r w:rsidR="00331DF2">
        <w:rPr>
          <w:color w:val="000000"/>
          <w:kern w:val="2"/>
        </w:rPr>
        <w:t>ЕОО</w:t>
      </w:r>
      <w:r w:rsidR="00331DF2" w:rsidRPr="00FD3526">
        <w:rPr>
          <w:color w:val="000000"/>
          <w:kern w:val="2"/>
        </w:rPr>
        <w:t>Д</w:t>
      </w:r>
      <w:r w:rsidR="00331DF2">
        <w:rPr>
          <w:color w:val="000000"/>
          <w:kern w:val="2"/>
        </w:rPr>
        <w:t xml:space="preserve"> </w:t>
      </w:r>
      <w:r w:rsidRPr="005825A7">
        <w:rPr>
          <w:rFonts w:cs="Arial"/>
          <w:b/>
          <w:bCs/>
          <w:i/>
          <w:iCs/>
          <w:color w:val="000000"/>
        </w:rPr>
        <w:t>:</w:t>
      </w:r>
      <w:r w:rsidR="00BF44B5">
        <w:rPr>
          <w:rFonts w:cs="Arial"/>
          <w:b/>
          <w:bCs/>
          <w:i/>
          <w:iCs/>
          <w:color w:val="000000"/>
        </w:rPr>
        <w:t xml:space="preserve"> </w:t>
      </w:r>
      <w:r w:rsidR="00331DF2">
        <w:rPr>
          <w:rFonts w:cs="Arial"/>
          <w:b/>
          <w:bCs/>
          <w:i/>
          <w:iCs/>
          <w:color w:val="000000"/>
        </w:rPr>
        <w:t>Няма такива</w:t>
      </w:r>
    </w:p>
    <w:p w14:paraId="0B0F5614" w14:textId="163C30A3" w:rsidR="00F47895" w:rsidRPr="00F267DF" w:rsidRDefault="00A67A5F" w:rsidP="00A82AC6">
      <w:pPr>
        <w:numPr>
          <w:ilvl w:val="0"/>
          <w:numId w:val="8"/>
        </w:numPr>
        <w:ind w:right="181"/>
        <w:jc w:val="both"/>
        <w:rPr>
          <w:rFonts w:cs="Arial"/>
          <w:b/>
          <w:bCs/>
          <w:i/>
          <w:iCs/>
        </w:rPr>
      </w:pPr>
      <w:r w:rsidRPr="00F267DF">
        <w:rPr>
          <w:rFonts w:cs="Arial"/>
          <w:b/>
          <w:bCs/>
          <w:i/>
          <w:iCs/>
          <w:color w:val="000000"/>
        </w:rPr>
        <w:t xml:space="preserve">Информация за дължимите от </w:t>
      </w:r>
      <w:r w:rsidR="00D93AA7" w:rsidRPr="00F267DF">
        <w:rPr>
          <w:color w:val="000000"/>
          <w:kern w:val="2"/>
        </w:rPr>
        <w:t xml:space="preserve">„ДКЦ Чайка ” </w:t>
      </w:r>
      <w:r w:rsidR="00D93AA7" w:rsidRPr="00F267DF">
        <w:rPr>
          <w:kern w:val="2"/>
        </w:rPr>
        <w:t xml:space="preserve">ЕООД </w:t>
      </w:r>
      <w:r w:rsidR="00C12BF5" w:rsidRPr="00F267DF">
        <w:rPr>
          <w:rFonts w:cs="Arial"/>
          <w:b/>
          <w:bCs/>
          <w:i/>
          <w:iCs/>
        </w:rPr>
        <w:t xml:space="preserve"> </w:t>
      </w:r>
      <w:r w:rsidRPr="00F267DF">
        <w:rPr>
          <w:rFonts w:cs="Arial"/>
          <w:b/>
          <w:bCs/>
          <w:i/>
          <w:iCs/>
        </w:rPr>
        <w:t>суми за изплащане на пенсии, обезщетения при пенсиониране или други подобни обезщетения</w:t>
      </w:r>
      <w:r w:rsidR="00F47895" w:rsidRPr="00F267DF">
        <w:rPr>
          <w:rFonts w:cs="Arial"/>
          <w:b/>
          <w:bCs/>
          <w:i/>
          <w:iCs/>
          <w:lang w:val="en-US"/>
        </w:rPr>
        <w:t xml:space="preserve">: </w:t>
      </w:r>
      <w:r w:rsidR="00F267DF" w:rsidRPr="00F267DF">
        <w:rPr>
          <w:rFonts w:cs="Arial"/>
          <w:b/>
          <w:bCs/>
          <w:i/>
          <w:iCs/>
        </w:rPr>
        <w:t>Общата п</w:t>
      </w:r>
      <w:r w:rsidR="00F47895" w:rsidRPr="00F267DF">
        <w:rPr>
          <w:rFonts w:cs="Arial"/>
          <w:b/>
          <w:bCs/>
          <w:i/>
          <w:iCs/>
        </w:rPr>
        <w:t>рогнозна оценка на задълженията за доходи при пенсиониране към 31.12.</w:t>
      </w:r>
      <w:r w:rsidR="00487716" w:rsidRPr="00F267DF">
        <w:rPr>
          <w:rFonts w:cs="Arial"/>
          <w:b/>
          <w:bCs/>
          <w:i/>
          <w:iCs/>
        </w:rPr>
        <w:t>2021</w:t>
      </w:r>
      <w:r w:rsidR="00F47895" w:rsidRPr="00F267DF">
        <w:rPr>
          <w:rFonts w:cs="Arial"/>
          <w:b/>
          <w:bCs/>
          <w:i/>
          <w:iCs/>
        </w:rPr>
        <w:t xml:space="preserve"> г. е в размер на </w:t>
      </w:r>
      <w:r w:rsidR="00F267DF" w:rsidRPr="00F267DF">
        <w:rPr>
          <w:rFonts w:cs="Arial"/>
          <w:b/>
          <w:bCs/>
          <w:i/>
          <w:iCs/>
        </w:rPr>
        <w:t>67</w:t>
      </w:r>
      <w:r w:rsidR="00F47895" w:rsidRPr="00F267DF">
        <w:rPr>
          <w:rFonts w:cs="Arial"/>
          <w:b/>
          <w:bCs/>
          <w:i/>
          <w:iCs/>
        </w:rPr>
        <w:t xml:space="preserve"> хил.лв.</w:t>
      </w:r>
      <w:r w:rsidR="00F267DF" w:rsidRPr="00F267DF">
        <w:rPr>
          <w:rFonts w:cs="Arial"/>
          <w:b/>
          <w:bCs/>
          <w:i/>
          <w:iCs/>
        </w:rPr>
        <w:t xml:space="preserve"> и в нея не се съдържат задължения към управителни и контролни органи.</w:t>
      </w:r>
    </w:p>
    <w:p w14:paraId="63AD166B" w14:textId="77777777" w:rsidR="007579EF" w:rsidRDefault="007579EF" w:rsidP="002228B1">
      <w:pPr>
        <w:numPr>
          <w:ilvl w:val="0"/>
          <w:numId w:val="8"/>
        </w:numPr>
        <w:ind w:right="181"/>
        <w:jc w:val="both"/>
        <w:rPr>
          <w:rFonts w:cs="Arial"/>
          <w:b/>
          <w:bCs/>
          <w:i/>
          <w:iCs/>
          <w:color w:val="000000"/>
        </w:rPr>
      </w:pPr>
      <w:r w:rsidRPr="005825A7">
        <w:rPr>
          <w:rFonts w:cs="Arial"/>
          <w:b/>
          <w:bCs/>
          <w:i/>
          <w:iCs/>
          <w:color w:val="000000"/>
        </w:rPr>
        <w:t xml:space="preserve">Информация за </w:t>
      </w:r>
      <w:r>
        <w:rPr>
          <w:rFonts w:cs="Arial"/>
          <w:b/>
          <w:bCs/>
          <w:i/>
          <w:iCs/>
          <w:color w:val="000000"/>
        </w:rPr>
        <w:t>дължимите от дъщерните дружества суми за изплащане на пенсии, обезщетения при пенсиониране или други подобни обезщетения</w:t>
      </w:r>
      <w:r w:rsidRPr="005825A7">
        <w:rPr>
          <w:rFonts w:cs="Arial"/>
          <w:b/>
          <w:bCs/>
          <w:i/>
          <w:iCs/>
          <w:color w:val="000000"/>
        </w:rPr>
        <w:t>:</w:t>
      </w:r>
      <w:r w:rsidR="008C37E7">
        <w:rPr>
          <w:rFonts w:cs="Arial"/>
          <w:b/>
          <w:bCs/>
          <w:i/>
          <w:iCs/>
          <w:color w:val="000000"/>
        </w:rPr>
        <w:t>-Няма такива</w:t>
      </w:r>
    </w:p>
    <w:p w14:paraId="0241EC7A" w14:textId="77777777" w:rsidR="00343852" w:rsidRPr="00C12BF5" w:rsidRDefault="00343852" w:rsidP="00A370BE"/>
    <w:p w14:paraId="156D4A9D" w14:textId="11C95AD6" w:rsidR="00775326" w:rsidRPr="00316233" w:rsidRDefault="00775326" w:rsidP="002228B1">
      <w:pPr>
        <w:shd w:val="clear" w:color="auto" w:fill="E36C0A"/>
        <w:autoSpaceDE w:val="0"/>
        <w:autoSpaceDN w:val="0"/>
        <w:adjustRightInd w:val="0"/>
        <w:jc w:val="both"/>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pPr>
      <w:r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XX</w:t>
      </w:r>
      <w:r w:rsidRPr="00316233">
        <w:rPr>
          <w:rFonts w:cs="Calibri"/>
          <w:b/>
          <w:bCs/>
          <w:sz w:val="24"/>
          <w:szCs w:val="24"/>
          <w:lang w:val="en-US"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 ИЗВЕСТНИ НА </w:t>
      </w:r>
      <w:r w:rsidR="008C37E7" w:rsidRPr="00B62B90">
        <w:rPr>
          <w:rFonts w:cs="Calibri"/>
          <w:b/>
          <w:bCs/>
          <w:sz w:val="24"/>
          <w:szCs w:val="24"/>
          <w:lang w:val="en-US"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„ДКЦ </w:t>
      </w:r>
      <w:proofErr w:type="gramStart"/>
      <w:r w:rsidR="008C37E7" w:rsidRPr="00B62B90">
        <w:rPr>
          <w:rFonts w:cs="Calibri"/>
          <w:b/>
          <w:bCs/>
          <w:sz w:val="24"/>
          <w:szCs w:val="24"/>
          <w:lang w:val="en-US" w:eastAsia="bg-BG"/>
          <w14:shadow w14:blurRad="50800" w14:dist="38100" w14:dir="2700000" w14:sx="100000" w14:sy="100000" w14:kx="0" w14:ky="0" w14:algn="tl">
            <w14:srgbClr w14:val="000000">
              <w14:alpha w14:val="60000"/>
            </w14:srgbClr>
          </w14:shadow>
          <w14:textFill>
            <w14:solidFill>
              <w14:srgbClr w14:val="FFFFFF"/>
            </w14:solidFill>
          </w14:textFill>
        </w:rPr>
        <w:t>Чайка ”</w:t>
      </w:r>
      <w:proofErr w:type="gramEnd"/>
      <w:r w:rsidR="008C37E7" w:rsidRPr="00B62B90">
        <w:rPr>
          <w:rFonts w:cs="Calibri"/>
          <w:b/>
          <w:bCs/>
          <w:sz w:val="24"/>
          <w:szCs w:val="24"/>
          <w:lang w:val="en-US"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 ЕООД  </w:t>
      </w:r>
      <w:r w:rsidRPr="00316233">
        <w:rPr>
          <w:rFonts w:cs="Calibri"/>
          <w:b/>
          <w:bCs/>
          <w:sz w:val="24"/>
          <w:szCs w:val="24"/>
          <w:lang w:val="en-US"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ДОГОВОРЕНОСТИ, в резултат на които в бъдещ период могат да настъпят промени в притежавания относителен дял </w:t>
      </w:r>
      <w:r w:rsidR="00C12BF5" w:rsidRPr="00B62B90">
        <w:rPr>
          <w:rFonts w:cs="Calibri"/>
          <w:b/>
          <w:bCs/>
          <w:sz w:val="24"/>
          <w:szCs w:val="24"/>
          <w:lang w:val="en-US" w:eastAsia="bg-BG"/>
          <w14:shadow w14:blurRad="50800" w14:dist="38100" w14:dir="2700000" w14:sx="100000" w14:sy="100000" w14:kx="0" w14:ky="0" w14:algn="tl">
            <w14:srgbClr w14:val="000000">
              <w14:alpha w14:val="60000"/>
            </w14:srgbClr>
          </w14:shadow>
          <w14:textFill>
            <w14:solidFill>
              <w14:srgbClr w14:val="FFFFFF"/>
            </w14:solidFill>
          </w14:textFill>
        </w:rPr>
        <w:t>дялове</w:t>
      </w:r>
      <w:r w:rsidRPr="00316233">
        <w:rPr>
          <w:rFonts w:cs="Calibri"/>
          <w:b/>
          <w:bCs/>
          <w:sz w:val="24"/>
          <w:szCs w:val="24"/>
          <w:lang w:val="en-US"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 от настоящи </w:t>
      </w:r>
      <w:r w:rsidR="00C12BF5" w:rsidRPr="00B62B90">
        <w:rPr>
          <w:rFonts w:cs="Calibri"/>
          <w:b/>
          <w:bCs/>
          <w:sz w:val="24"/>
          <w:szCs w:val="24"/>
          <w:lang w:val="en-US" w:eastAsia="bg-BG"/>
          <w14:shadow w14:blurRad="50800" w14:dist="38100" w14:dir="2700000" w14:sx="100000" w14:sy="100000" w14:kx="0" w14:ky="0" w14:algn="tl">
            <w14:srgbClr w14:val="000000">
              <w14:alpha w14:val="60000"/>
            </w14:srgbClr>
          </w14:shadow>
          <w14:textFill>
            <w14:solidFill>
              <w14:srgbClr w14:val="FFFFFF"/>
            </w14:solidFill>
          </w14:textFill>
        </w:rPr>
        <w:t>съдружници</w:t>
      </w:r>
      <w:r w:rsidRPr="00316233">
        <w:rPr>
          <w:rFonts w:cs="Calibri"/>
          <w:b/>
          <w:bCs/>
          <w:sz w:val="24"/>
          <w:szCs w:val="24"/>
          <w:lang w:val="en-US"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  (съгл. т. 19 от Приложение № </w:t>
      </w:r>
      <w:r w:rsidR="00E7012F">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2</w:t>
      </w:r>
      <w:r w:rsidRPr="00316233">
        <w:rPr>
          <w:rFonts w:cs="Calibri"/>
          <w:b/>
          <w:bCs/>
          <w:sz w:val="24"/>
          <w:szCs w:val="24"/>
          <w:lang w:val="en-US" w:eastAsia="bg-BG"/>
          <w14:shadow w14:blurRad="50800" w14:dist="38100" w14:dir="2700000" w14:sx="100000" w14:sy="100000" w14:kx="0" w14:ky="0" w14:algn="tl">
            <w14:srgbClr w14:val="000000">
              <w14:alpha w14:val="60000"/>
            </w14:srgbClr>
          </w14:shadow>
          <w14:textFill>
            <w14:solidFill>
              <w14:srgbClr w14:val="FFFFFF"/>
            </w14:solidFill>
          </w14:textFill>
        </w:rPr>
        <w:t>)</w:t>
      </w:r>
    </w:p>
    <w:p w14:paraId="1CD415FF" w14:textId="77777777" w:rsidR="009E7C86" w:rsidRDefault="009E7C86" w:rsidP="00386062">
      <w:pPr>
        <w:jc w:val="both"/>
      </w:pPr>
    </w:p>
    <w:p w14:paraId="0F5C8A84" w14:textId="77777777" w:rsidR="00775326" w:rsidRPr="00343852" w:rsidRDefault="00775326" w:rsidP="00386062">
      <w:pPr>
        <w:jc w:val="both"/>
      </w:pPr>
      <w:r>
        <w:t>На</w:t>
      </w:r>
      <w:r w:rsidR="008C37E7">
        <w:t xml:space="preserve"> </w:t>
      </w:r>
      <w:r>
        <w:t xml:space="preserve"> </w:t>
      </w:r>
      <w:r w:rsidR="008C37E7" w:rsidRPr="00FD3526">
        <w:rPr>
          <w:color w:val="000000"/>
          <w:kern w:val="2"/>
        </w:rPr>
        <w:t>„</w:t>
      </w:r>
      <w:r w:rsidR="008C37E7">
        <w:rPr>
          <w:color w:val="000000"/>
          <w:kern w:val="2"/>
        </w:rPr>
        <w:t xml:space="preserve">ДКЦ Чайка </w:t>
      </w:r>
      <w:r w:rsidR="008C37E7" w:rsidRPr="00FD3526">
        <w:rPr>
          <w:color w:val="000000"/>
          <w:kern w:val="2"/>
        </w:rPr>
        <w:t xml:space="preserve">” </w:t>
      </w:r>
      <w:r w:rsidR="008C37E7">
        <w:rPr>
          <w:color w:val="000000"/>
          <w:kern w:val="2"/>
        </w:rPr>
        <w:t>ЕОО</w:t>
      </w:r>
      <w:r w:rsidR="008C37E7" w:rsidRPr="00FD3526">
        <w:rPr>
          <w:color w:val="000000"/>
          <w:kern w:val="2"/>
        </w:rPr>
        <w:t>Д</w:t>
      </w:r>
      <w:r w:rsidR="008C37E7">
        <w:rPr>
          <w:color w:val="000000"/>
          <w:kern w:val="2"/>
        </w:rPr>
        <w:t xml:space="preserve"> </w:t>
      </w:r>
      <w:r w:rsidR="008C37E7">
        <w:rPr>
          <w:rFonts w:cs="Arial"/>
          <w:b/>
          <w:bCs/>
          <w:i/>
          <w:iCs/>
          <w:color w:val="000000"/>
        </w:rPr>
        <w:t xml:space="preserve"> </w:t>
      </w:r>
      <w:r w:rsidR="00386062" w:rsidRPr="00343852">
        <w:t>не са известни  договорености (включително и след приключване на финансовата година)</w:t>
      </w:r>
      <w:r w:rsidR="00E26435">
        <w:t>,</w:t>
      </w:r>
      <w:r w:rsidR="00386062" w:rsidRPr="00343852">
        <w:t xml:space="preserve"> в резултат на които в бъдещ период могат да настъпят промени в притежавания относителен дял </w:t>
      </w:r>
      <w:r w:rsidR="00C12BF5">
        <w:t>дялове</w:t>
      </w:r>
      <w:r w:rsidR="00386062" w:rsidRPr="00343852">
        <w:t xml:space="preserve"> от настоящи </w:t>
      </w:r>
      <w:r w:rsidR="00C12BF5">
        <w:t>съдружници</w:t>
      </w:r>
      <w:r w:rsidR="00386062" w:rsidRPr="00343852">
        <w:t>:</w:t>
      </w:r>
    </w:p>
    <w:p w14:paraId="6C3AAA3D" w14:textId="77777777" w:rsidR="00757417" w:rsidRDefault="00757417" w:rsidP="00386062">
      <w:pPr>
        <w:jc w:val="both"/>
      </w:pPr>
    </w:p>
    <w:p w14:paraId="21A1E085" w14:textId="51AFE6DF" w:rsidR="00386062" w:rsidRPr="00316233" w:rsidRDefault="00E26435" w:rsidP="002228B1">
      <w:pPr>
        <w:pStyle w:val="NoSpacing"/>
        <w:shd w:val="clear" w:color="auto" w:fill="E36C0A"/>
        <w:autoSpaceDE w:val="0"/>
        <w:autoSpaceDN w:val="0"/>
        <w:adjustRightInd w:val="0"/>
        <w:jc w:val="both"/>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pPr>
      <w:r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XX</w:t>
      </w:r>
      <w:r w:rsidR="00C12BF5"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I</w:t>
      </w:r>
      <w:r w:rsidR="00386062"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 ИНФОРМАЦИЯ ЗА ВИСЯЩИ СЪДЕБНИ, АДМИНИСТРАТИВНИ И АРБИТРАЖНИ </w:t>
      </w:r>
      <w:proofErr w:type="gramStart"/>
      <w:r w:rsidR="00386062"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ПРОИЗВОДСТВА  (</w:t>
      </w:r>
      <w:proofErr w:type="gramEnd"/>
      <w:r w:rsidR="00386062"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съгл. т. 20 от Приложение № </w:t>
      </w:r>
      <w:r w:rsidR="00E7012F">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2</w:t>
      </w:r>
      <w:r w:rsidR="00386062"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w:t>
      </w:r>
    </w:p>
    <w:p w14:paraId="5A2F199E" w14:textId="77777777" w:rsidR="00386062" w:rsidRDefault="00386062" w:rsidP="00386062"/>
    <w:p w14:paraId="5BF6B14A" w14:textId="44B09202" w:rsidR="00277D91" w:rsidRDefault="00277D91" w:rsidP="002228B1">
      <w:pPr>
        <w:numPr>
          <w:ilvl w:val="0"/>
          <w:numId w:val="8"/>
        </w:numPr>
        <w:ind w:right="181"/>
        <w:jc w:val="both"/>
        <w:rPr>
          <w:rFonts w:cs="Arial"/>
          <w:b/>
          <w:bCs/>
          <w:i/>
          <w:iCs/>
          <w:color w:val="000000"/>
        </w:rPr>
      </w:pPr>
      <w:r w:rsidRPr="005825A7">
        <w:rPr>
          <w:rFonts w:cs="Arial"/>
          <w:b/>
          <w:bCs/>
          <w:i/>
          <w:iCs/>
          <w:color w:val="000000"/>
        </w:rPr>
        <w:t xml:space="preserve">Информация за </w:t>
      </w:r>
      <w:r w:rsidRPr="00277D91">
        <w:rPr>
          <w:rFonts w:cs="Arial"/>
          <w:b/>
          <w:bCs/>
          <w:i/>
          <w:iCs/>
          <w:color w:val="000000"/>
        </w:rPr>
        <w:t>висящи съдебни, административни или арбитражни производства, касаещи негови задължения в размер най-малко 10 на сто от собствения му капитал</w:t>
      </w:r>
      <w:r w:rsidR="00E9281F">
        <w:rPr>
          <w:rFonts w:cs="Arial"/>
          <w:b/>
          <w:bCs/>
          <w:i/>
          <w:iCs/>
          <w:color w:val="000000"/>
        </w:rPr>
        <w:t xml:space="preserve"> </w:t>
      </w:r>
      <w:r w:rsidR="008C37E7">
        <w:rPr>
          <w:rFonts w:cs="Arial"/>
          <w:b/>
          <w:bCs/>
          <w:i/>
          <w:iCs/>
          <w:color w:val="000000"/>
        </w:rPr>
        <w:t>-</w:t>
      </w:r>
      <w:r w:rsidR="00E9281F">
        <w:rPr>
          <w:rFonts w:cs="Arial"/>
          <w:b/>
          <w:bCs/>
          <w:i/>
          <w:iCs/>
          <w:color w:val="000000"/>
        </w:rPr>
        <w:t xml:space="preserve"> </w:t>
      </w:r>
      <w:r w:rsidR="008C37E7">
        <w:rPr>
          <w:rFonts w:cs="Arial"/>
          <w:b/>
          <w:bCs/>
          <w:i/>
          <w:iCs/>
          <w:color w:val="000000"/>
        </w:rPr>
        <w:t>Няма такива</w:t>
      </w:r>
    </w:p>
    <w:p w14:paraId="21FC5D7E" w14:textId="44DE2554" w:rsidR="00277D91" w:rsidRDefault="00277D91" w:rsidP="002228B1">
      <w:pPr>
        <w:numPr>
          <w:ilvl w:val="0"/>
          <w:numId w:val="8"/>
        </w:numPr>
        <w:ind w:right="181"/>
        <w:jc w:val="both"/>
        <w:rPr>
          <w:rFonts w:cs="Arial"/>
          <w:b/>
          <w:bCs/>
          <w:i/>
          <w:iCs/>
          <w:color w:val="000000"/>
        </w:rPr>
      </w:pPr>
      <w:r w:rsidRPr="005825A7">
        <w:rPr>
          <w:rFonts w:cs="Arial"/>
          <w:b/>
          <w:bCs/>
          <w:i/>
          <w:iCs/>
          <w:color w:val="000000"/>
        </w:rPr>
        <w:lastRenderedPageBreak/>
        <w:t xml:space="preserve">Информация за </w:t>
      </w:r>
      <w:r w:rsidRPr="00277D91">
        <w:rPr>
          <w:rFonts w:cs="Arial"/>
          <w:b/>
          <w:bCs/>
          <w:i/>
          <w:iCs/>
          <w:color w:val="000000"/>
        </w:rPr>
        <w:t xml:space="preserve">висящи съдебни, административни или арбитражни производства, касаещи негови </w:t>
      </w:r>
      <w:r>
        <w:rPr>
          <w:rFonts w:cs="Arial"/>
          <w:b/>
          <w:bCs/>
          <w:i/>
          <w:iCs/>
          <w:color w:val="000000"/>
        </w:rPr>
        <w:t>вземания</w:t>
      </w:r>
      <w:r w:rsidRPr="00277D91">
        <w:rPr>
          <w:rFonts w:cs="Arial"/>
          <w:b/>
          <w:bCs/>
          <w:i/>
          <w:iCs/>
          <w:color w:val="000000"/>
        </w:rPr>
        <w:t xml:space="preserve"> в размер най-малко 10 на сто от собствения му капитал</w:t>
      </w:r>
      <w:r w:rsidR="00E9281F">
        <w:rPr>
          <w:rFonts w:cs="Arial"/>
          <w:b/>
          <w:bCs/>
          <w:i/>
          <w:iCs/>
          <w:color w:val="000000"/>
        </w:rPr>
        <w:t xml:space="preserve"> </w:t>
      </w:r>
      <w:r w:rsidR="008C37E7">
        <w:rPr>
          <w:rFonts w:cs="Arial"/>
          <w:b/>
          <w:bCs/>
          <w:i/>
          <w:iCs/>
          <w:color w:val="000000"/>
        </w:rPr>
        <w:t>-Няма такива</w:t>
      </w:r>
    </w:p>
    <w:p w14:paraId="0D18F9C6" w14:textId="77777777" w:rsidR="00C74CAE" w:rsidRDefault="00C74CAE" w:rsidP="00386062">
      <w:pPr>
        <w:jc w:val="both"/>
      </w:pPr>
    </w:p>
    <w:p w14:paraId="1232CE31" w14:textId="77777777" w:rsidR="00C74CAE" w:rsidRPr="00316233" w:rsidRDefault="00C12BF5" w:rsidP="002228B1">
      <w:pPr>
        <w:pStyle w:val="NoSpacing"/>
        <w:shd w:val="clear" w:color="auto" w:fill="E36C0A"/>
        <w:autoSpaceDE w:val="0"/>
        <w:autoSpaceDN w:val="0"/>
        <w:adjustRightInd w:val="0"/>
        <w:jc w:val="both"/>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pPr>
      <w:r w:rsidRPr="00316233">
        <w:rPr>
          <w:rFonts w:cs="Calibri"/>
          <w:b/>
          <w:bCs/>
          <w:sz w:val="24"/>
          <w:szCs w:val="24"/>
          <w:lang w:eastAsia="bg-BG"/>
          <w14:shadow w14:blurRad="50800" w14:dist="38100" w14:dir="2700000" w14:sx="100000" w14:sy="100000" w14:kx="0" w14:ky="0" w14:algn="tl">
            <w14:srgbClr w14:val="000000">
              <w14:alpha w14:val="60000"/>
            </w14:srgbClr>
          </w14:shadow>
          <w14:textFill>
            <w14:solidFill>
              <w14:srgbClr w14:val="FFFFFF"/>
            </w14:solidFill>
          </w14:textFill>
        </w:rPr>
        <w:t>XXII</w:t>
      </w:r>
      <w:r w:rsidR="00C74CAE"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 ПЕРСПЕКТИВИ ЗА РАЗВИТИЕ НА </w:t>
      </w:r>
      <w:r w:rsidR="008C37E7" w:rsidRPr="00761F61">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„ДКЦ </w:t>
      </w:r>
      <w:proofErr w:type="gramStart"/>
      <w:r w:rsidR="008C37E7" w:rsidRPr="00761F61">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Чайка ”</w:t>
      </w:r>
      <w:proofErr w:type="gramEnd"/>
      <w:r w:rsidR="008C37E7" w:rsidRPr="00761F61">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 ЕООД  </w:t>
      </w:r>
      <w:r w:rsidR="00C74CAE" w:rsidRPr="00316233">
        <w:rPr>
          <w:rFonts w:cs="Calibri"/>
          <w:b/>
          <w:bCs/>
          <w:sz w:val="24"/>
          <w:szCs w:val="24"/>
          <w:lang w:val="bg-BG" w:eastAsia="bg-BG"/>
          <w14:shadow w14:blurRad="50800" w14:dist="38100" w14:dir="2700000" w14:sx="100000" w14:sy="100000" w14:kx="0" w14:ky="0" w14:algn="tl">
            <w14:srgbClr w14:val="000000">
              <w14:alpha w14:val="60000"/>
            </w14:srgbClr>
          </w14:shadow>
          <w14:textFill>
            <w14:solidFill>
              <w14:srgbClr w14:val="FFFFFF"/>
            </w14:solidFill>
          </w14:textFill>
        </w:rPr>
        <w:t xml:space="preserve"> (съгл. чл. 39, т.4 от ЗС)</w:t>
      </w:r>
    </w:p>
    <w:p w14:paraId="421CD630" w14:textId="77777777" w:rsidR="00566C38" w:rsidRPr="009835FF" w:rsidRDefault="00566C38" w:rsidP="00566C38"/>
    <w:p w14:paraId="6751C59A" w14:textId="77777777" w:rsidR="008C37E7" w:rsidRPr="008C37E7" w:rsidRDefault="00566C38" w:rsidP="008C37E7">
      <w:pPr>
        <w:widowControl w:val="0"/>
        <w:shd w:val="clear" w:color="auto" w:fill="FFFFFF"/>
        <w:jc w:val="both"/>
        <w:rPr>
          <w:rFonts w:eastAsia="Times New Roman" w:cs="Arial"/>
          <w:lang w:val="en-US"/>
        </w:rPr>
      </w:pPr>
      <w:r w:rsidRPr="002228B1">
        <w:rPr>
          <w:b/>
          <w:color w:val="E36C0A"/>
        </w:rPr>
        <w:t>Мисия:</w:t>
      </w:r>
      <w:r w:rsidR="008C37E7" w:rsidRPr="008C37E7">
        <w:rPr>
          <w:rFonts w:eastAsia="Times New Roman" w:cs="Arial"/>
          <w:lang w:val="ru-RU"/>
        </w:rPr>
        <w:t xml:space="preserve"> Мисията на </w:t>
      </w:r>
      <w:r w:rsidR="008C37E7" w:rsidRPr="008C37E7">
        <w:rPr>
          <w:rFonts w:eastAsia="Times New Roman" w:cs="Arial"/>
        </w:rPr>
        <w:t>„</w:t>
      </w:r>
      <w:r w:rsidR="008C37E7" w:rsidRPr="008C37E7">
        <w:rPr>
          <w:rFonts w:eastAsia="Times New Roman" w:cs="Arial"/>
          <w:lang w:val="ru-RU"/>
        </w:rPr>
        <w:t>ДКЦ ЧАЙКА” – Варна</w:t>
      </w:r>
      <w:r w:rsidR="008C37E7" w:rsidRPr="008C37E7">
        <w:rPr>
          <w:rFonts w:eastAsia="Times New Roman" w:cs="Arial"/>
        </w:rPr>
        <w:t xml:space="preserve"> </w:t>
      </w:r>
      <w:r w:rsidR="008C37E7" w:rsidRPr="008C37E7">
        <w:rPr>
          <w:rFonts w:eastAsia="Times New Roman" w:cs="Arial"/>
          <w:lang w:val="ru-RU"/>
        </w:rPr>
        <w:t>е да задоволява потребностите от специализирана медицинска помощ на населението от Варненския регион в съответствие с медицинските стандарти и правилата за добра медицинска практика, допълнено с персонално внимание и сърдечно отношение.</w:t>
      </w:r>
    </w:p>
    <w:p w14:paraId="4716A0CD" w14:textId="77777777" w:rsidR="00566C38" w:rsidRPr="002228B1" w:rsidRDefault="008C37E7" w:rsidP="008C37E7">
      <w:pPr>
        <w:pStyle w:val="BodyText"/>
        <w:ind w:left="180" w:right="180"/>
        <w:jc w:val="both"/>
        <w:rPr>
          <w:rFonts w:ascii="Calibri" w:hAnsi="Calibri"/>
          <w:b/>
          <w:color w:val="E36C0A"/>
          <w:sz w:val="22"/>
        </w:rPr>
      </w:pPr>
      <w:r w:rsidRPr="008C37E7">
        <w:rPr>
          <w:rFonts w:ascii="Calibri" w:hAnsi="Calibri"/>
          <w:sz w:val="22"/>
          <w:lang w:val="be-BY"/>
        </w:rPr>
        <w:t>Мисията е съобразена с основните елементи на бизнеса, като потребители, пазари, производствени мощности и други. Мисията е израз на смисъла на съществуване и ценностната система на фирмата</w:t>
      </w:r>
      <w:r>
        <w:rPr>
          <w:rFonts w:ascii="Calibri" w:hAnsi="Calibri"/>
          <w:sz w:val="22"/>
          <w:lang w:val="be-BY"/>
        </w:rPr>
        <w:t>.</w:t>
      </w:r>
    </w:p>
    <w:p w14:paraId="4A23BBFA" w14:textId="77777777" w:rsidR="00566C38" w:rsidRPr="006623F6" w:rsidRDefault="00566C38" w:rsidP="00566C38">
      <w:pPr>
        <w:jc w:val="both"/>
      </w:pPr>
    </w:p>
    <w:p w14:paraId="57EF480D" w14:textId="77777777" w:rsidR="00566C38" w:rsidRPr="006623F6" w:rsidRDefault="00566C38" w:rsidP="00566C38">
      <w:pPr>
        <w:ind w:left="180" w:right="180"/>
        <w:jc w:val="both"/>
        <w:rPr>
          <w:lang w:val="be-BY"/>
        </w:rPr>
      </w:pPr>
      <w:r w:rsidRPr="006623F6">
        <w:rPr>
          <w:lang w:val="be-BY"/>
        </w:rPr>
        <w:t>Мисията е съобразена с основните елементи на бизнеса, като клиенти, пазари</w:t>
      </w:r>
      <w:r>
        <w:rPr>
          <w:lang w:val="be-BY"/>
        </w:rPr>
        <w:t>, производствени мощности и други. Мисията е израз на смисъла на съществуване и ценностната система на фирмата.</w:t>
      </w:r>
      <w:r w:rsidRPr="003E1ABC">
        <w:rPr>
          <w:lang w:val="be-BY"/>
        </w:rPr>
        <w:t xml:space="preserve"> </w:t>
      </w:r>
      <w:r w:rsidRPr="001D2232">
        <w:rPr>
          <w:lang w:val="be-BY"/>
        </w:rPr>
        <w:t>Дава отговор на въпросите: „Какъв е бизнеса?”, „Какъв е потребителят?”, „Какво е ценно за него?”, „Какъв ще бъде бизнесът н</w:t>
      </w:r>
      <w:r>
        <w:rPr>
          <w:lang w:val="be-BY"/>
        </w:rPr>
        <w:t>и?”, „Какъв би трябвало да бъде</w:t>
      </w:r>
      <w:r w:rsidRPr="001D2232">
        <w:rPr>
          <w:lang w:val="be-BY"/>
        </w:rPr>
        <w:t>?”.</w:t>
      </w:r>
    </w:p>
    <w:p w14:paraId="11ABF996" w14:textId="77777777" w:rsidR="00566C38" w:rsidRPr="006623F6" w:rsidRDefault="00566C38" w:rsidP="00566C38">
      <w:pPr>
        <w:ind w:right="180"/>
        <w:jc w:val="both"/>
        <w:rPr>
          <w:lang w:val="be-BY"/>
        </w:rPr>
      </w:pPr>
    </w:p>
    <w:tbl>
      <w:tblPr>
        <w:tblW w:w="0" w:type="auto"/>
        <w:jc w:val="center"/>
        <w:tblBorders>
          <w:top w:val="double" w:sz="6" w:space="0" w:color="E36C0A"/>
          <w:left w:val="double" w:sz="6" w:space="0" w:color="E36C0A"/>
          <w:bottom w:val="double" w:sz="6" w:space="0" w:color="E36C0A"/>
          <w:right w:val="double" w:sz="6" w:space="0" w:color="E36C0A"/>
          <w:insideH w:val="double" w:sz="6" w:space="0" w:color="E36C0A"/>
          <w:insideV w:val="double" w:sz="6" w:space="0" w:color="E36C0A"/>
        </w:tblBorders>
        <w:tblLayout w:type="fixed"/>
        <w:tblLook w:val="00A0" w:firstRow="1" w:lastRow="0" w:firstColumn="1" w:lastColumn="0" w:noHBand="0" w:noVBand="0"/>
      </w:tblPr>
      <w:tblGrid>
        <w:gridCol w:w="2520"/>
        <w:gridCol w:w="6660"/>
      </w:tblGrid>
      <w:tr w:rsidR="00566C38" w:rsidRPr="006623F6" w14:paraId="3DCAA10D" w14:textId="77777777" w:rsidTr="002228B1">
        <w:trPr>
          <w:jc w:val="center"/>
        </w:trPr>
        <w:tc>
          <w:tcPr>
            <w:tcW w:w="2520" w:type="dxa"/>
            <w:vAlign w:val="center"/>
          </w:tcPr>
          <w:p w14:paraId="0D92A153" w14:textId="77777777" w:rsidR="00566C38" w:rsidRPr="002228B1" w:rsidRDefault="00566C38" w:rsidP="00F51E2A">
            <w:pPr>
              <w:ind w:left="180" w:right="180"/>
              <w:jc w:val="right"/>
              <w:rPr>
                <w:b/>
                <w:color w:val="E36C0A"/>
                <w:lang w:val="be-BY"/>
              </w:rPr>
            </w:pPr>
            <w:r w:rsidRPr="002228B1">
              <w:rPr>
                <w:b/>
                <w:color w:val="E36C0A"/>
                <w:lang w:val="be-BY"/>
              </w:rPr>
              <w:t xml:space="preserve">Основна дейност </w:t>
            </w:r>
          </w:p>
        </w:tc>
        <w:tc>
          <w:tcPr>
            <w:tcW w:w="6660" w:type="dxa"/>
          </w:tcPr>
          <w:p w14:paraId="4D43989C" w14:textId="77777777" w:rsidR="00566C38" w:rsidRPr="006623F6" w:rsidRDefault="008C37E7" w:rsidP="002228B1">
            <w:pPr>
              <w:numPr>
                <w:ilvl w:val="0"/>
                <w:numId w:val="11"/>
              </w:numPr>
              <w:tabs>
                <w:tab w:val="clear" w:pos="720"/>
                <w:tab w:val="num" w:pos="252"/>
              </w:tabs>
              <w:ind w:left="252" w:right="180" w:hanging="180"/>
              <w:jc w:val="both"/>
              <w:rPr>
                <w:lang w:val="be-BY"/>
              </w:rPr>
            </w:pPr>
            <w:r>
              <w:t>С</w:t>
            </w:r>
            <w:r w:rsidRPr="00FB0304">
              <w:t>пециализирана извънболнична медицинска помощ</w:t>
            </w:r>
          </w:p>
          <w:p w14:paraId="35428000" w14:textId="77777777" w:rsidR="00566C38" w:rsidRPr="006623F6" w:rsidRDefault="00566C38" w:rsidP="008C37E7">
            <w:pPr>
              <w:ind w:left="252" w:right="180"/>
              <w:jc w:val="both"/>
              <w:rPr>
                <w:lang w:val="be-BY"/>
              </w:rPr>
            </w:pPr>
          </w:p>
          <w:p w14:paraId="533545FB" w14:textId="77777777" w:rsidR="00566C38" w:rsidRPr="006623F6" w:rsidRDefault="00566C38" w:rsidP="008C37E7">
            <w:pPr>
              <w:ind w:left="252" w:right="180"/>
              <w:jc w:val="both"/>
              <w:rPr>
                <w:lang w:val="be-BY"/>
              </w:rPr>
            </w:pPr>
          </w:p>
        </w:tc>
      </w:tr>
      <w:tr w:rsidR="00566C38" w:rsidRPr="006623F6" w14:paraId="3D3F9563" w14:textId="77777777" w:rsidTr="002228B1">
        <w:trPr>
          <w:trHeight w:val="866"/>
          <w:jc w:val="center"/>
        </w:trPr>
        <w:tc>
          <w:tcPr>
            <w:tcW w:w="2520" w:type="dxa"/>
            <w:vAlign w:val="center"/>
          </w:tcPr>
          <w:p w14:paraId="219134A9" w14:textId="77777777" w:rsidR="00566C38" w:rsidRPr="00507059" w:rsidRDefault="00566C38" w:rsidP="00F51E2A">
            <w:pPr>
              <w:ind w:left="180" w:right="180"/>
              <w:jc w:val="right"/>
              <w:rPr>
                <w:b/>
                <w:color w:val="548DD4"/>
                <w:lang w:val="be-BY"/>
              </w:rPr>
            </w:pPr>
            <w:r w:rsidRPr="002228B1">
              <w:rPr>
                <w:b/>
                <w:color w:val="E36C0A"/>
                <w:lang w:val="be-BY"/>
              </w:rPr>
              <w:t>Клиенти</w:t>
            </w:r>
          </w:p>
        </w:tc>
        <w:tc>
          <w:tcPr>
            <w:tcW w:w="6660" w:type="dxa"/>
          </w:tcPr>
          <w:p w14:paraId="5A9DEF11" w14:textId="77777777" w:rsidR="00566C38" w:rsidRPr="006623F6" w:rsidRDefault="008C37E7" w:rsidP="002228B1">
            <w:pPr>
              <w:numPr>
                <w:ilvl w:val="0"/>
                <w:numId w:val="11"/>
              </w:numPr>
              <w:tabs>
                <w:tab w:val="clear" w:pos="720"/>
                <w:tab w:val="num" w:pos="252"/>
              </w:tabs>
              <w:ind w:left="252" w:right="180" w:hanging="180"/>
              <w:jc w:val="both"/>
              <w:rPr>
                <w:lang w:val="be-BY"/>
              </w:rPr>
            </w:pPr>
            <w:r>
              <w:rPr>
                <w:lang w:val="be-BY"/>
              </w:rPr>
              <w:t>РЗОК</w:t>
            </w:r>
          </w:p>
          <w:p w14:paraId="77E93770" w14:textId="77777777" w:rsidR="00566C38" w:rsidRDefault="008C37E7" w:rsidP="002228B1">
            <w:pPr>
              <w:numPr>
                <w:ilvl w:val="0"/>
                <w:numId w:val="11"/>
              </w:numPr>
              <w:tabs>
                <w:tab w:val="clear" w:pos="720"/>
                <w:tab w:val="num" w:pos="252"/>
              </w:tabs>
              <w:ind w:left="252" w:right="180" w:hanging="180"/>
              <w:jc w:val="both"/>
              <w:rPr>
                <w:lang w:val="be-BY"/>
              </w:rPr>
            </w:pPr>
            <w:r>
              <w:rPr>
                <w:lang w:val="be-BY"/>
              </w:rPr>
              <w:t>Пациенти</w:t>
            </w:r>
          </w:p>
          <w:p w14:paraId="4900C2D7" w14:textId="77777777" w:rsidR="00566C38" w:rsidRPr="004F6E7D" w:rsidRDefault="008C37E7" w:rsidP="002228B1">
            <w:pPr>
              <w:numPr>
                <w:ilvl w:val="0"/>
                <w:numId w:val="11"/>
              </w:numPr>
              <w:tabs>
                <w:tab w:val="clear" w:pos="720"/>
                <w:tab w:val="num" w:pos="252"/>
              </w:tabs>
              <w:ind w:left="252" w:right="180" w:hanging="180"/>
              <w:jc w:val="both"/>
              <w:rPr>
                <w:lang w:val="be-BY"/>
              </w:rPr>
            </w:pPr>
            <w:r>
              <w:rPr>
                <w:lang w:val="be-BY"/>
              </w:rPr>
              <w:t>Здравноосигурителни фондове и фирми</w:t>
            </w:r>
          </w:p>
        </w:tc>
      </w:tr>
      <w:tr w:rsidR="00566C38" w:rsidRPr="006623F6" w14:paraId="76E678C6" w14:textId="77777777" w:rsidTr="002228B1">
        <w:trPr>
          <w:jc w:val="center"/>
        </w:trPr>
        <w:tc>
          <w:tcPr>
            <w:tcW w:w="2520" w:type="dxa"/>
            <w:vAlign w:val="center"/>
          </w:tcPr>
          <w:p w14:paraId="4B52C44A" w14:textId="77777777" w:rsidR="00566C38" w:rsidRPr="002228B1" w:rsidRDefault="00566C38" w:rsidP="00F51E2A">
            <w:pPr>
              <w:ind w:left="180" w:right="180"/>
              <w:jc w:val="right"/>
              <w:rPr>
                <w:b/>
                <w:color w:val="E36C0A"/>
                <w:lang w:val="be-BY"/>
              </w:rPr>
            </w:pPr>
            <w:r w:rsidRPr="002228B1">
              <w:rPr>
                <w:b/>
                <w:color w:val="E36C0A"/>
                <w:lang w:val="be-BY"/>
              </w:rPr>
              <w:t>Пазарен обхват</w:t>
            </w:r>
          </w:p>
        </w:tc>
        <w:tc>
          <w:tcPr>
            <w:tcW w:w="6660" w:type="dxa"/>
          </w:tcPr>
          <w:p w14:paraId="4141361B" w14:textId="77777777" w:rsidR="00566C38" w:rsidRPr="006623F6" w:rsidRDefault="00566C38" w:rsidP="00F51E2A">
            <w:pPr>
              <w:ind w:left="432" w:right="180" w:hanging="360"/>
              <w:jc w:val="both"/>
              <w:rPr>
                <w:lang w:val="be-BY"/>
              </w:rPr>
            </w:pPr>
            <w:r w:rsidRPr="006623F6">
              <w:rPr>
                <w:lang w:val="be-BY"/>
              </w:rPr>
              <w:t>Обхватът на пазара включва клиенти от:</w:t>
            </w:r>
          </w:p>
          <w:p w14:paraId="7DC580DF" w14:textId="77777777" w:rsidR="00566C38" w:rsidRPr="006623F6" w:rsidRDefault="00DC25CE" w:rsidP="00DC25CE">
            <w:pPr>
              <w:numPr>
                <w:ilvl w:val="0"/>
                <w:numId w:val="11"/>
              </w:numPr>
              <w:ind w:right="180"/>
              <w:jc w:val="both"/>
              <w:rPr>
                <w:lang w:val="be-BY"/>
              </w:rPr>
            </w:pPr>
            <w:r>
              <w:rPr>
                <w:lang w:val="be-BY"/>
              </w:rPr>
              <w:t>предимно жители от район Приморски, ж.к. Чайка, ж.к. Бриз, ж.к. Левски и курортните комплекси северно от гр. Варна</w:t>
            </w:r>
          </w:p>
          <w:p w14:paraId="1CEDEDC4" w14:textId="77777777" w:rsidR="00DC25CE" w:rsidRPr="00352E47" w:rsidRDefault="00DC25CE" w:rsidP="00DC25CE">
            <w:pPr>
              <w:numPr>
                <w:ilvl w:val="0"/>
                <w:numId w:val="11"/>
              </w:numPr>
              <w:autoSpaceDE w:val="0"/>
              <w:autoSpaceDN w:val="0"/>
              <w:jc w:val="both"/>
              <w:rPr>
                <w:rFonts w:cs="Arial"/>
                <w:lang w:val="ru-RU"/>
              </w:rPr>
            </w:pPr>
            <w:r w:rsidRPr="00352E47">
              <w:rPr>
                <w:rFonts w:cs="Arial"/>
                <w:lang w:val="ru-RU"/>
              </w:rPr>
              <w:t>Пациенти, ползващи профилактични прегледи съгласно Наредба № 3  за предварителните и периодични медицински прегледи на работниците и служителите;</w:t>
            </w:r>
          </w:p>
          <w:p w14:paraId="6EC72A54" w14:textId="77777777" w:rsidR="00DC25CE" w:rsidRPr="00352E47" w:rsidRDefault="00DC25CE" w:rsidP="00DC25CE">
            <w:pPr>
              <w:numPr>
                <w:ilvl w:val="0"/>
                <w:numId w:val="11"/>
              </w:numPr>
              <w:autoSpaceDE w:val="0"/>
              <w:autoSpaceDN w:val="0"/>
              <w:jc w:val="both"/>
              <w:rPr>
                <w:rFonts w:cs="Arial"/>
                <w:lang w:val="ru-RU"/>
              </w:rPr>
            </w:pPr>
            <w:r w:rsidRPr="00352E47">
              <w:rPr>
                <w:rFonts w:cs="Arial"/>
                <w:lang w:val="ru-RU"/>
              </w:rPr>
              <w:t>Пациенти, обслужвани по договори, сключени с работодателите им.</w:t>
            </w:r>
          </w:p>
          <w:p w14:paraId="69AFC635" w14:textId="77777777" w:rsidR="00566C38" w:rsidRPr="006623F6" w:rsidRDefault="00566C38" w:rsidP="00DC25CE">
            <w:pPr>
              <w:ind w:left="720" w:right="180"/>
              <w:jc w:val="both"/>
              <w:rPr>
                <w:lang w:val="be-BY"/>
              </w:rPr>
            </w:pPr>
          </w:p>
          <w:p w14:paraId="1753DC76" w14:textId="77777777" w:rsidR="00566C38" w:rsidRPr="006623F6" w:rsidRDefault="00566C38" w:rsidP="00F51E2A">
            <w:pPr>
              <w:ind w:left="27" w:right="180"/>
              <w:jc w:val="both"/>
              <w:rPr>
                <w:lang w:val="be-BY"/>
              </w:rPr>
            </w:pPr>
            <w:r>
              <w:rPr>
                <w:lang w:val="be-BY"/>
              </w:rPr>
              <w:t>Потенциални клиенти, към които ще се насочат маркетингови услилия в</w:t>
            </w:r>
            <w:r w:rsidRPr="006623F6">
              <w:rPr>
                <w:lang w:val="be-BY"/>
              </w:rPr>
              <w:t xml:space="preserve"> бъдеще:</w:t>
            </w:r>
          </w:p>
          <w:p w14:paraId="073D625A" w14:textId="77777777" w:rsidR="00566C38" w:rsidRPr="00DC25CE" w:rsidRDefault="00DC25CE" w:rsidP="00DC25CE">
            <w:pPr>
              <w:numPr>
                <w:ilvl w:val="0"/>
                <w:numId w:val="11"/>
              </w:numPr>
              <w:ind w:right="180"/>
              <w:jc w:val="both"/>
              <w:rPr>
                <w:lang w:val="be-BY"/>
              </w:rPr>
            </w:pPr>
            <w:r w:rsidRPr="00DC25CE">
              <w:rPr>
                <w:rFonts w:cs="Arial"/>
                <w:lang w:val="ru-RU"/>
              </w:rPr>
              <w:t>Пациенти, ползващи профилактични прегледи и жители от други райони</w:t>
            </w:r>
          </w:p>
          <w:p w14:paraId="58F2D51C" w14:textId="77777777" w:rsidR="00566C38" w:rsidRPr="006623F6" w:rsidRDefault="00566C38" w:rsidP="00F51E2A">
            <w:pPr>
              <w:ind w:left="432" w:right="180" w:hanging="360"/>
              <w:jc w:val="both"/>
              <w:rPr>
                <w:lang w:val="be-BY"/>
              </w:rPr>
            </w:pPr>
            <w:r w:rsidRPr="006623F6">
              <w:rPr>
                <w:lang w:val="be-BY"/>
              </w:rPr>
              <w:t xml:space="preserve">Поддържане на изградена търговска мрежа </w:t>
            </w:r>
          </w:p>
        </w:tc>
      </w:tr>
      <w:tr w:rsidR="00566C38" w:rsidRPr="006623F6" w14:paraId="42F08FBF" w14:textId="77777777" w:rsidTr="002228B1">
        <w:trPr>
          <w:jc w:val="center"/>
        </w:trPr>
        <w:tc>
          <w:tcPr>
            <w:tcW w:w="2520" w:type="dxa"/>
            <w:vAlign w:val="center"/>
          </w:tcPr>
          <w:p w14:paraId="02B42976" w14:textId="77777777" w:rsidR="00566C38" w:rsidRPr="002228B1" w:rsidRDefault="00566C38" w:rsidP="007E55B3">
            <w:pPr>
              <w:ind w:left="180" w:right="180"/>
              <w:jc w:val="right"/>
              <w:rPr>
                <w:b/>
                <w:color w:val="E36C0A"/>
                <w:lang w:val="be-BY"/>
              </w:rPr>
            </w:pPr>
            <w:r w:rsidRPr="002228B1">
              <w:rPr>
                <w:b/>
                <w:color w:val="E36C0A"/>
                <w:lang w:val="be-BY"/>
              </w:rPr>
              <w:t>Конкуренти</w:t>
            </w:r>
          </w:p>
        </w:tc>
        <w:tc>
          <w:tcPr>
            <w:tcW w:w="6660" w:type="dxa"/>
          </w:tcPr>
          <w:p w14:paraId="54A74C23" w14:textId="77777777" w:rsidR="00566C38" w:rsidRDefault="00DC25CE" w:rsidP="00DC25CE">
            <w:pPr>
              <w:numPr>
                <w:ilvl w:val="0"/>
                <w:numId w:val="12"/>
              </w:numPr>
              <w:ind w:right="180"/>
              <w:jc w:val="both"/>
              <w:rPr>
                <w:lang w:val="be-BY"/>
              </w:rPr>
            </w:pPr>
            <w:r>
              <w:rPr>
                <w:lang w:val="be-BY"/>
              </w:rPr>
              <w:t xml:space="preserve">Диагностично консултативни центрове </w:t>
            </w:r>
          </w:p>
          <w:p w14:paraId="3120C45E" w14:textId="77777777" w:rsidR="00DC25CE" w:rsidRPr="00352E47" w:rsidRDefault="00DC25CE" w:rsidP="00DC25CE">
            <w:pPr>
              <w:numPr>
                <w:ilvl w:val="0"/>
                <w:numId w:val="12"/>
              </w:numPr>
              <w:autoSpaceDE w:val="0"/>
              <w:autoSpaceDN w:val="0"/>
              <w:jc w:val="both"/>
              <w:rPr>
                <w:rFonts w:cs="Arial"/>
                <w:lang w:val="ru-RU"/>
              </w:rPr>
            </w:pPr>
            <w:r w:rsidRPr="00352E47">
              <w:rPr>
                <w:rFonts w:cs="Arial"/>
                <w:lang w:val="ru-RU"/>
              </w:rPr>
              <w:t>Специализирани болници за активно лечение;</w:t>
            </w:r>
          </w:p>
          <w:p w14:paraId="511A18F9" w14:textId="77777777" w:rsidR="00DC25CE" w:rsidRPr="00352E47" w:rsidRDefault="00DC25CE" w:rsidP="00DC25CE">
            <w:pPr>
              <w:numPr>
                <w:ilvl w:val="0"/>
                <w:numId w:val="12"/>
              </w:numPr>
              <w:autoSpaceDE w:val="0"/>
              <w:autoSpaceDN w:val="0"/>
              <w:jc w:val="both"/>
              <w:rPr>
                <w:rFonts w:cs="Arial"/>
                <w:lang w:val="ru-RU"/>
              </w:rPr>
            </w:pPr>
            <w:r w:rsidRPr="00352E47">
              <w:rPr>
                <w:rFonts w:cs="Arial"/>
                <w:lang w:val="ru-RU"/>
              </w:rPr>
              <w:t>Многопрофилни болници за активно лечение;</w:t>
            </w:r>
          </w:p>
          <w:p w14:paraId="713CE597" w14:textId="77777777" w:rsidR="00DC25CE" w:rsidRPr="00C95598" w:rsidRDefault="00DC25CE" w:rsidP="00DC25CE">
            <w:pPr>
              <w:numPr>
                <w:ilvl w:val="0"/>
                <w:numId w:val="12"/>
              </w:numPr>
              <w:autoSpaceDE w:val="0"/>
              <w:autoSpaceDN w:val="0"/>
              <w:jc w:val="both"/>
              <w:rPr>
                <w:rFonts w:cs="Arial"/>
              </w:rPr>
            </w:pPr>
            <w:r w:rsidRPr="00C95598">
              <w:rPr>
                <w:rFonts w:cs="Arial"/>
              </w:rPr>
              <w:t>Медицински центрове;</w:t>
            </w:r>
          </w:p>
          <w:p w14:paraId="4840C997" w14:textId="77777777" w:rsidR="00DC25CE" w:rsidRDefault="00DC25CE" w:rsidP="00DC25CE">
            <w:pPr>
              <w:numPr>
                <w:ilvl w:val="0"/>
                <w:numId w:val="12"/>
              </w:numPr>
              <w:ind w:right="180"/>
              <w:jc w:val="both"/>
              <w:rPr>
                <w:lang w:val="be-BY"/>
              </w:rPr>
            </w:pPr>
            <w:r w:rsidRPr="00C95598">
              <w:rPr>
                <w:rFonts w:cs="Arial"/>
              </w:rPr>
              <w:t>Индивидуални специализирани медицински практики</w:t>
            </w:r>
          </w:p>
          <w:p w14:paraId="788289E2" w14:textId="77777777" w:rsidR="00566C38" w:rsidRPr="004F6E7D" w:rsidRDefault="00566C38" w:rsidP="00DC25CE">
            <w:pPr>
              <w:ind w:left="720" w:right="180"/>
              <w:jc w:val="both"/>
              <w:rPr>
                <w:lang w:val="be-BY"/>
              </w:rPr>
            </w:pPr>
          </w:p>
        </w:tc>
      </w:tr>
      <w:tr w:rsidR="00566C38" w:rsidRPr="006623F6" w14:paraId="0F533077" w14:textId="77777777" w:rsidTr="002228B1">
        <w:trPr>
          <w:jc w:val="center"/>
        </w:trPr>
        <w:tc>
          <w:tcPr>
            <w:tcW w:w="2520" w:type="dxa"/>
            <w:vAlign w:val="center"/>
          </w:tcPr>
          <w:p w14:paraId="21C77AEA" w14:textId="77777777" w:rsidR="00566C38" w:rsidRPr="00507059" w:rsidRDefault="004F6E7D" w:rsidP="007E55B3">
            <w:pPr>
              <w:ind w:left="180" w:right="180"/>
              <w:jc w:val="right"/>
              <w:rPr>
                <w:b/>
                <w:color w:val="548DD4"/>
                <w:lang w:val="be-BY"/>
              </w:rPr>
            </w:pPr>
            <w:r w:rsidRPr="002228B1">
              <w:rPr>
                <w:b/>
                <w:color w:val="E36C0A"/>
                <w:lang w:val="be-BY"/>
              </w:rPr>
              <w:t>Производствени мощности:</w:t>
            </w:r>
          </w:p>
        </w:tc>
        <w:tc>
          <w:tcPr>
            <w:tcW w:w="6660" w:type="dxa"/>
          </w:tcPr>
          <w:p w14:paraId="7CC32564" w14:textId="77777777" w:rsidR="00DC25CE" w:rsidRPr="00097579" w:rsidRDefault="00DC25CE" w:rsidP="00097579">
            <w:pPr>
              <w:numPr>
                <w:ilvl w:val="0"/>
                <w:numId w:val="11"/>
              </w:numPr>
              <w:tabs>
                <w:tab w:val="left" w:pos="190"/>
              </w:tabs>
              <w:rPr>
                <w:rFonts w:cs="Arial"/>
              </w:rPr>
            </w:pPr>
            <w:r w:rsidRPr="00097579">
              <w:rPr>
                <w:rFonts w:cs="Arial"/>
              </w:rPr>
              <w:t>висока квалификация на персонала;</w:t>
            </w:r>
          </w:p>
          <w:p w14:paraId="657E6AFB" w14:textId="77777777" w:rsidR="00DC25CE" w:rsidRPr="00097579" w:rsidRDefault="00DC25CE" w:rsidP="00097579">
            <w:pPr>
              <w:numPr>
                <w:ilvl w:val="0"/>
                <w:numId w:val="11"/>
              </w:numPr>
              <w:tabs>
                <w:tab w:val="left" w:pos="190"/>
              </w:tabs>
              <w:rPr>
                <w:rFonts w:cs="Arial"/>
                <w:lang w:val="ru-RU"/>
              </w:rPr>
            </w:pPr>
            <w:r w:rsidRPr="00097579">
              <w:rPr>
                <w:rFonts w:cs="Arial"/>
                <w:lang w:val="ru-RU"/>
              </w:rPr>
              <w:t>наличие на апаратура за осъществяване на високоспе</w:t>
            </w:r>
            <w:r w:rsidR="00097579">
              <w:rPr>
                <w:rFonts w:cs="Arial"/>
                <w:lang w:val="ru-RU"/>
              </w:rPr>
              <w:t xml:space="preserve">циализирани дейности, </w:t>
            </w:r>
            <w:r w:rsidRPr="00097579">
              <w:rPr>
                <w:rFonts w:cs="Arial"/>
                <w:lang w:val="ru-RU"/>
              </w:rPr>
              <w:t>съвременно медицинско оборудване и добра база;</w:t>
            </w:r>
          </w:p>
          <w:p w14:paraId="3DDB108D" w14:textId="77777777" w:rsidR="00DC25CE" w:rsidRPr="00097579" w:rsidRDefault="00DC25CE" w:rsidP="00097579">
            <w:pPr>
              <w:numPr>
                <w:ilvl w:val="0"/>
                <w:numId w:val="11"/>
              </w:numPr>
              <w:tabs>
                <w:tab w:val="left" w:pos="190"/>
              </w:tabs>
              <w:rPr>
                <w:rFonts w:cs="Arial"/>
                <w:lang w:val="ru-RU"/>
              </w:rPr>
            </w:pPr>
            <w:r w:rsidRPr="00097579">
              <w:rPr>
                <w:rFonts w:cs="Arial"/>
                <w:lang w:val="ru-RU"/>
              </w:rPr>
              <w:t>висок процент на реализирани първични прегледи;</w:t>
            </w:r>
          </w:p>
          <w:p w14:paraId="1816C43F" w14:textId="77777777" w:rsidR="00097579" w:rsidRPr="00097579" w:rsidRDefault="00DC25CE" w:rsidP="00097579">
            <w:pPr>
              <w:numPr>
                <w:ilvl w:val="0"/>
                <w:numId w:val="11"/>
              </w:numPr>
              <w:ind w:right="180"/>
              <w:jc w:val="both"/>
              <w:rPr>
                <w:lang w:val="be-BY"/>
              </w:rPr>
            </w:pPr>
            <w:r w:rsidRPr="00097579">
              <w:rPr>
                <w:rFonts w:cs="Arial"/>
              </w:rPr>
              <w:t>добре развита физиотерапевтична дейност</w:t>
            </w:r>
          </w:p>
          <w:p w14:paraId="3C736241" w14:textId="77777777" w:rsidR="00097579" w:rsidRPr="00097579" w:rsidRDefault="00097579" w:rsidP="00097579">
            <w:pPr>
              <w:numPr>
                <w:ilvl w:val="0"/>
                <w:numId w:val="11"/>
              </w:numPr>
              <w:tabs>
                <w:tab w:val="left" w:pos="190"/>
              </w:tabs>
              <w:rPr>
                <w:rFonts w:cs="Arial"/>
              </w:rPr>
            </w:pPr>
            <w:r w:rsidRPr="00097579">
              <w:rPr>
                <w:rFonts w:cs="Arial"/>
              </w:rPr>
              <w:lastRenderedPageBreak/>
              <w:t>център за образна диагностика и  клинична лаборатория</w:t>
            </w:r>
          </w:p>
          <w:p w14:paraId="318D2863" w14:textId="77777777" w:rsidR="00566C38" w:rsidRPr="008D3406" w:rsidRDefault="00097579" w:rsidP="008D3406">
            <w:pPr>
              <w:numPr>
                <w:ilvl w:val="0"/>
                <w:numId w:val="11"/>
              </w:numPr>
              <w:tabs>
                <w:tab w:val="left" w:pos="190"/>
              </w:tabs>
              <w:rPr>
                <w:rFonts w:cs="Arial"/>
              </w:rPr>
            </w:pPr>
            <w:r w:rsidRPr="00097579">
              <w:rPr>
                <w:rFonts w:cs="Arial"/>
              </w:rPr>
              <w:t xml:space="preserve">достъпна среда за пациенти </w:t>
            </w:r>
          </w:p>
        </w:tc>
      </w:tr>
    </w:tbl>
    <w:p w14:paraId="6610B01F" w14:textId="77777777" w:rsidR="00E9281F" w:rsidRDefault="00E9281F" w:rsidP="00566C38">
      <w:pPr>
        <w:pStyle w:val="BodyText"/>
        <w:ind w:left="180" w:right="180"/>
        <w:jc w:val="both"/>
        <w:rPr>
          <w:rFonts w:ascii="Calibri" w:hAnsi="Calibri"/>
          <w:b/>
          <w:color w:val="E36C0A"/>
          <w:sz w:val="22"/>
        </w:rPr>
      </w:pPr>
    </w:p>
    <w:p w14:paraId="0576F830" w14:textId="194ACFC0" w:rsidR="00566C38" w:rsidRPr="002228B1" w:rsidRDefault="004F6E7D" w:rsidP="00566C38">
      <w:pPr>
        <w:pStyle w:val="BodyText"/>
        <w:ind w:left="180" w:right="180"/>
        <w:jc w:val="both"/>
        <w:rPr>
          <w:rFonts w:ascii="Calibri" w:hAnsi="Calibri"/>
          <w:b/>
          <w:color w:val="E36C0A"/>
          <w:sz w:val="22"/>
        </w:rPr>
      </w:pPr>
      <w:r w:rsidRPr="002228B1">
        <w:rPr>
          <w:rFonts w:ascii="Calibri" w:hAnsi="Calibri"/>
          <w:b/>
          <w:color w:val="E36C0A"/>
          <w:sz w:val="22"/>
        </w:rPr>
        <w:t>Стратегии:</w:t>
      </w:r>
    </w:p>
    <w:p w14:paraId="401BEA55" w14:textId="77777777" w:rsidR="00566C38" w:rsidRPr="001D2232" w:rsidRDefault="00566C38" w:rsidP="002228B1">
      <w:pPr>
        <w:numPr>
          <w:ilvl w:val="0"/>
          <w:numId w:val="13"/>
        </w:numPr>
        <w:ind w:right="180"/>
        <w:jc w:val="both"/>
        <w:rPr>
          <w:b/>
          <w:lang w:val="be-BY"/>
        </w:rPr>
      </w:pPr>
      <w:r w:rsidRPr="001D2232">
        <w:rPr>
          <w:b/>
          <w:lang w:val="be-BY"/>
        </w:rPr>
        <w:t>Стратегия за пазарно развитие:</w:t>
      </w:r>
    </w:p>
    <w:p w14:paraId="09F98EC2" w14:textId="77777777" w:rsidR="00097579" w:rsidRPr="00097579" w:rsidRDefault="00097579" w:rsidP="00097579">
      <w:pPr>
        <w:numPr>
          <w:ilvl w:val="0"/>
          <w:numId w:val="14"/>
        </w:numPr>
        <w:tabs>
          <w:tab w:val="left" w:pos="851"/>
        </w:tabs>
        <w:ind w:right="180"/>
        <w:jc w:val="both"/>
        <w:rPr>
          <w:lang w:val="be-BY"/>
        </w:rPr>
      </w:pPr>
      <w:r w:rsidRPr="00097579">
        <w:rPr>
          <w:lang w:val="be-BY"/>
        </w:rPr>
        <w:t>обслужване на значителна част от населението на Варненския регион и задоволяване на здравните потребности, отчитайки специфичните особености на аудиторията и възможностите за комуникация с тях;</w:t>
      </w:r>
    </w:p>
    <w:p w14:paraId="45E64DB7" w14:textId="77777777" w:rsidR="00097579" w:rsidRPr="00097579" w:rsidRDefault="00097579" w:rsidP="00097579">
      <w:pPr>
        <w:numPr>
          <w:ilvl w:val="0"/>
          <w:numId w:val="14"/>
        </w:numPr>
        <w:tabs>
          <w:tab w:val="left" w:pos="851"/>
        </w:tabs>
        <w:ind w:right="180"/>
        <w:jc w:val="both"/>
        <w:rPr>
          <w:lang w:val="be-BY"/>
        </w:rPr>
      </w:pPr>
      <w:r w:rsidRPr="00097579">
        <w:rPr>
          <w:lang w:val="be-BY"/>
        </w:rPr>
        <w:t>разкриване на възможности за най-съвременна диагностика и лечение;</w:t>
      </w:r>
    </w:p>
    <w:p w14:paraId="2F4049E3" w14:textId="77777777" w:rsidR="00097579" w:rsidRPr="00097579" w:rsidRDefault="00097579" w:rsidP="00097579">
      <w:pPr>
        <w:numPr>
          <w:ilvl w:val="0"/>
          <w:numId w:val="14"/>
        </w:numPr>
        <w:tabs>
          <w:tab w:val="left" w:pos="851"/>
        </w:tabs>
        <w:ind w:right="180"/>
        <w:jc w:val="both"/>
        <w:rPr>
          <w:lang w:val="be-BY"/>
        </w:rPr>
      </w:pPr>
      <w:r w:rsidRPr="00097579">
        <w:rPr>
          <w:lang w:val="be-BY"/>
        </w:rPr>
        <w:t>разкриване на възможности за научна медицинска дейност;</w:t>
      </w:r>
    </w:p>
    <w:p w14:paraId="505F4C3A" w14:textId="77777777" w:rsidR="00097579" w:rsidRPr="00097579" w:rsidRDefault="00097579" w:rsidP="00097579">
      <w:pPr>
        <w:numPr>
          <w:ilvl w:val="0"/>
          <w:numId w:val="14"/>
        </w:numPr>
        <w:tabs>
          <w:tab w:val="left" w:pos="851"/>
        </w:tabs>
        <w:ind w:right="180"/>
        <w:jc w:val="both"/>
        <w:rPr>
          <w:lang w:val="be-BY"/>
        </w:rPr>
      </w:pPr>
      <w:r w:rsidRPr="00097579">
        <w:rPr>
          <w:lang w:val="be-BY"/>
        </w:rPr>
        <w:t>запазване на сегашния пазар и завоюване на нови пазарни сегменти;</w:t>
      </w:r>
    </w:p>
    <w:p w14:paraId="72FC20D6" w14:textId="77777777" w:rsidR="00097579" w:rsidRPr="00097579" w:rsidRDefault="00097579" w:rsidP="00097579">
      <w:pPr>
        <w:numPr>
          <w:ilvl w:val="0"/>
          <w:numId w:val="14"/>
        </w:numPr>
        <w:tabs>
          <w:tab w:val="left" w:pos="851"/>
        </w:tabs>
        <w:ind w:right="180"/>
        <w:jc w:val="both"/>
        <w:rPr>
          <w:lang w:val="be-BY"/>
        </w:rPr>
      </w:pPr>
      <w:r w:rsidRPr="00097579">
        <w:rPr>
          <w:lang w:val="be-BY"/>
        </w:rPr>
        <w:t>изготвяне на нова рекламна стратегия;</w:t>
      </w:r>
    </w:p>
    <w:p w14:paraId="4D84B4CB" w14:textId="77777777" w:rsidR="00097579" w:rsidRPr="00097579" w:rsidRDefault="00097579" w:rsidP="00097579">
      <w:pPr>
        <w:numPr>
          <w:ilvl w:val="0"/>
          <w:numId w:val="14"/>
        </w:numPr>
        <w:tabs>
          <w:tab w:val="left" w:pos="851"/>
        </w:tabs>
        <w:ind w:right="180"/>
        <w:jc w:val="both"/>
        <w:rPr>
          <w:lang w:val="be-BY"/>
        </w:rPr>
      </w:pPr>
      <w:r w:rsidRPr="00097579">
        <w:rPr>
          <w:lang w:val="be-BY"/>
        </w:rPr>
        <w:t>разширяване на портфейла от предлаганите здравни услуги и обхващане на по голям пакет, покриван от РЗОК;</w:t>
      </w:r>
    </w:p>
    <w:p w14:paraId="77189DBE" w14:textId="77777777" w:rsidR="00097579" w:rsidRPr="00097579" w:rsidRDefault="00097579" w:rsidP="00097579">
      <w:pPr>
        <w:numPr>
          <w:ilvl w:val="0"/>
          <w:numId w:val="14"/>
        </w:numPr>
        <w:tabs>
          <w:tab w:val="left" w:pos="851"/>
        </w:tabs>
        <w:ind w:right="180"/>
        <w:jc w:val="both"/>
        <w:rPr>
          <w:lang w:val="be-BY"/>
        </w:rPr>
      </w:pPr>
      <w:r w:rsidRPr="00097579">
        <w:rPr>
          <w:lang w:val="be-BY"/>
        </w:rPr>
        <w:t>акцентиране върху удовлетвореността на пациента;</w:t>
      </w:r>
    </w:p>
    <w:p w14:paraId="0668859A" w14:textId="77777777" w:rsidR="00B71C56" w:rsidRDefault="00097579" w:rsidP="00B71C56">
      <w:pPr>
        <w:numPr>
          <w:ilvl w:val="0"/>
          <w:numId w:val="14"/>
        </w:numPr>
        <w:tabs>
          <w:tab w:val="left" w:pos="851"/>
        </w:tabs>
        <w:ind w:right="180"/>
        <w:jc w:val="both"/>
        <w:rPr>
          <w:lang w:val="be-BY"/>
        </w:rPr>
      </w:pPr>
      <w:r w:rsidRPr="00097579">
        <w:rPr>
          <w:lang w:val="be-BY"/>
        </w:rPr>
        <w:t>въвеждане на абонаментно обслужване.</w:t>
      </w:r>
    </w:p>
    <w:p w14:paraId="72DA16EB" w14:textId="77777777" w:rsidR="00B71C56" w:rsidRDefault="00566C38" w:rsidP="00B71C56">
      <w:pPr>
        <w:numPr>
          <w:ilvl w:val="0"/>
          <w:numId w:val="14"/>
        </w:numPr>
        <w:tabs>
          <w:tab w:val="left" w:pos="851"/>
        </w:tabs>
        <w:ind w:right="180"/>
        <w:jc w:val="both"/>
        <w:rPr>
          <w:lang w:val="be-BY"/>
        </w:rPr>
      </w:pPr>
      <w:r w:rsidRPr="00B71C56">
        <w:rPr>
          <w:lang w:val="be-BY"/>
        </w:rPr>
        <w:t>Предлагане на конкурентни цени;</w:t>
      </w:r>
    </w:p>
    <w:p w14:paraId="33AE3B7E" w14:textId="77777777" w:rsidR="00566C38" w:rsidRPr="00B71C56" w:rsidRDefault="00566C38" w:rsidP="00B71C56">
      <w:pPr>
        <w:numPr>
          <w:ilvl w:val="0"/>
          <w:numId w:val="14"/>
        </w:numPr>
        <w:tabs>
          <w:tab w:val="left" w:pos="851"/>
        </w:tabs>
        <w:ind w:right="180"/>
        <w:jc w:val="both"/>
        <w:rPr>
          <w:lang w:val="be-BY"/>
        </w:rPr>
      </w:pPr>
      <w:r w:rsidRPr="00B71C56">
        <w:rPr>
          <w:lang w:val="be-BY"/>
        </w:rPr>
        <w:t>Бизнес сътрудничество;</w:t>
      </w:r>
    </w:p>
    <w:p w14:paraId="3E2D3002" w14:textId="77777777" w:rsidR="00844425" w:rsidRDefault="00844425" w:rsidP="00844425">
      <w:pPr>
        <w:tabs>
          <w:tab w:val="left" w:pos="851"/>
        </w:tabs>
        <w:ind w:left="1260" w:right="180"/>
        <w:jc w:val="both"/>
        <w:rPr>
          <w:lang w:val="be-BY"/>
        </w:rPr>
      </w:pPr>
    </w:p>
    <w:p w14:paraId="66979165" w14:textId="77777777" w:rsidR="00566C38" w:rsidRPr="001D2232" w:rsidRDefault="00566C38" w:rsidP="002228B1">
      <w:pPr>
        <w:numPr>
          <w:ilvl w:val="0"/>
          <w:numId w:val="13"/>
        </w:numPr>
        <w:ind w:right="180"/>
        <w:jc w:val="both"/>
        <w:rPr>
          <w:b/>
          <w:lang w:val="be-BY"/>
        </w:rPr>
      </w:pPr>
      <w:r w:rsidRPr="001D2232">
        <w:rPr>
          <w:b/>
          <w:lang w:val="be-BY"/>
        </w:rPr>
        <w:t xml:space="preserve">Стратегия на вътрешно развитие: </w:t>
      </w:r>
    </w:p>
    <w:p w14:paraId="5FB1B345" w14:textId="77777777" w:rsidR="00566C38" w:rsidRDefault="00566C38" w:rsidP="002228B1">
      <w:pPr>
        <w:numPr>
          <w:ilvl w:val="0"/>
          <w:numId w:val="14"/>
        </w:numPr>
        <w:tabs>
          <w:tab w:val="left" w:pos="851"/>
        </w:tabs>
        <w:ind w:right="180" w:hanging="693"/>
        <w:jc w:val="both"/>
        <w:rPr>
          <w:lang w:val="be-BY"/>
        </w:rPr>
      </w:pPr>
      <w:r>
        <w:rPr>
          <w:lang w:val="be-BY"/>
        </w:rPr>
        <w:t>Оптимизиране на оперативните разходи;</w:t>
      </w:r>
    </w:p>
    <w:p w14:paraId="3F374744" w14:textId="77777777" w:rsidR="00566C38" w:rsidRDefault="00566C38" w:rsidP="002228B1">
      <w:pPr>
        <w:numPr>
          <w:ilvl w:val="0"/>
          <w:numId w:val="14"/>
        </w:numPr>
        <w:tabs>
          <w:tab w:val="left" w:pos="851"/>
        </w:tabs>
        <w:ind w:right="180" w:hanging="693"/>
        <w:jc w:val="both"/>
        <w:rPr>
          <w:lang w:val="be-BY"/>
        </w:rPr>
      </w:pPr>
      <w:r>
        <w:rPr>
          <w:lang w:val="be-BY"/>
        </w:rPr>
        <w:t>Увеличаване производителността и рентабилността на труда;</w:t>
      </w:r>
    </w:p>
    <w:p w14:paraId="46B5D671" w14:textId="77777777" w:rsidR="009222D3" w:rsidRDefault="00566C38" w:rsidP="009222D3">
      <w:pPr>
        <w:numPr>
          <w:ilvl w:val="0"/>
          <w:numId w:val="14"/>
        </w:numPr>
        <w:tabs>
          <w:tab w:val="left" w:pos="851"/>
        </w:tabs>
        <w:ind w:right="180" w:hanging="693"/>
        <w:jc w:val="both"/>
        <w:rPr>
          <w:lang w:val="be-BY"/>
        </w:rPr>
      </w:pPr>
      <w:r>
        <w:rPr>
          <w:lang w:val="be-BY"/>
        </w:rPr>
        <w:t>Повишаване квалификацията на служителите;</w:t>
      </w:r>
    </w:p>
    <w:p w14:paraId="48F0859E" w14:textId="77777777" w:rsidR="009222D3" w:rsidRPr="009222D3" w:rsidRDefault="009222D3" w:rsidP="009222D3">
      <w:pPr>
        <w:numPr>
          <w:ilvl w:val="0"/>
          <w:numId w:val="14"/>
        </w:numPr>
        <w:tabs>
          <w:tab w:val="left" w:pos="851"/>
        </w:tabs>
        <w:ind w:right="180" w:hanging="693"/>
        <w:jc w:val="both"/>
        <w:rPr>
          <w:lang w:val="be-BY"/>
        </w:rPr>
      </w:pPr>
      <w:r>
        <w:rPr>
          <w:lang w:val="be-BY"/>
        </w:rPr>
        <w:t>С</w:t>
      </w:r>
      <w:r w:rsidRPr="009222D3">
        <w:rPr>
          <w:lang w:val="be-BY"/>
        </w:rPr>
        <w:t>ключване на договори със застрахователни фирми за медицински застраховки (доброволни);</w:t>
      </w:r>
    </w:p>
    <w:p w14:paraId="4E42CCB3" w14:textId="77777777" w:rsidR="009222D3" w:rsidRPr="009222D3" w:rsidRDefault="009222D3" w:rsidP="009222D3">
      <w:pPr>
        <w:numPr>
          <w:ilvl w:val="0"/>
          <w:numId w:val="14"/>
        </w:numPr>
        <w:tabs>
          <w:tab w:val="left" w:pos="851"/>
        </w:tabs>
        <w:ind w:right="180"/>
        <w:jc w:val="both"/>
        <w:rPr>
          <w:lang w:val="be-BY"/>
        </w:rPr>
      </w:pPr>
      <w:r w:rsidRPr="009222D3">
        <w:rPr>
          <w:lang w:val="be-BY"/>
        </w:rPr>
        <w:t>разширяване на клиничната лаборатория;</w:t>
      </w:r>
    </w:p>
    <w:p w14:paraId="73B3C1BF" w14:textId="77777777" w:rsidR="009222D3" w:rsidRPr="009222D3" w:rsidRDefault="009222D3" w:rsidP="009222D3">
      <w:pPr>
        <w:numPr>
          <w:ilvl w:val="0"/>
          <w:numId w:val="14"/>
        </w:numPr>
        <w:tabs>
          <w:tab w:val="left" w:pos="851"/>
        </w:tabs>
        <w:ind w:right="180"/>
        <w:jc w:val="both"/>
        <w:rPr>
          <w:lang w:val="be-BY"/>
        </w:rPr>
      </w:pPr>
      <w:r w:rsidRPr="009222D3">
        <w:rPr>
          <w:lang w:val="be-BY"/>
        </w:rPr>
        <w:t>доусъвършенстване на информационната система;</w:t>
      </w:r>
    </w:p>
    <w:p w14:paraId="521CAA9B" w14:textId="77777777" w:rsidR="009222D3" w:rsidRPr="009222D3" w:rsidRDefault="009222D3" w:rsidP="009222D3">
      <w:pPr>
        <w:numPr>
          <w:ilvl w:val="0"/>
          <w:numId w:val="14"/>
        </w:numPr>
        <w:tabs>
          <w:tab w:val="left" w:pos="851"/>
        </w:tabs>
        <w:ind w:right="180"/>
        <w:jc w:val="both"/>
        <w:rPr>
          <w:lang w:val="be-BY"/>
        </w:rPr>
      </w:pPr>
      <w:r w:rsidRPr="009222D3">
        <w:rPr>
          <w:lang w:val="be-BY"/>
        </w:rPr>
        <w:t>осъвременяване на наличната апаратура;</w:t>
      </w:r>
    </w:p>
    <w:p w14:paraId="30C9DDA4" w14:textId="77777777" w:rsidR="009222D3" w:rsidRPr="009222D3" w:rsidRDefault="009222D3" w:rsidP="009222D3">
      <w:pPr>
        <w:numPr>
          <w:ilvl w:val="0"/>
          <w:numId w:val="14"/>
        </w:numPr>
        <w:tabs>
          <w:tab w:val="left" w:pos="851"/>
        </w:tabs>
        <w:ind w:right="180"/>
        <w:jc w:val="both"/>
        <w:rPr>
          <w:lang w:val="be-BY"/>
        </w:rPr>
      </w:pPr>
      <w:r w:rsidRPr="009222D3">
        <w:rPr>
          <w:lang w:val="be-BY"/>
        </w:rPr>
        <w:t>разширяване на някои специализирани медицински дейности и привличане на нови специалисти;</w:t>
      </w:r>
    </w:p>
    <w:p w14:paraId="4B48B48B" w14:textId="77777777" w:rsidR="009222D3" w:rsidRPr="009222D3" w:rsidRDefault="009222D3" w:rsidP="009222D3">
      <w:pPr>
        <w:numPr>
          <w:ilvl w:val="0"/>
          <w:numId w:val="14"/>
        </w:numPr>
        <w:tabs>
          <w:tab w:val="left" w:pos="851"/>
        </w:tabs>
        <w:ind w:right="180"/>
        <w:jc w:val="both"/>
        <w:rPr>
          <w:lang w:val="be-BY"/>
        </w:rPr>
      </w:pPr>
      <w:r w:rsidRPr="009222D3">
        <w:rPr>
          <w:lang w:val="be-BY"/>
        </w:rPr>
        <w:t>развитие на взаимоотношенията със семейните и денталните лекари;</w:t>
      </w:r>
    </w:p>
    <w:p w14:paraId="3F431BC7" w14:textId="77777777" w:rsidR="009222D3" w:rsidRPr="009222D3" w:rsidRDefault="009222D3" w:rsidP="009222D3">
      <w:pPr>
        <w:numPr>
          <w:ilvl w:val="0"/>
          <w:numId w:val="14"/>
        </w:numPr>
        <w:tabs>
          <w:tab w:val="left" w:pos="851"/>
        </w:tabs>
        <w:ind w:right="180"/>
        <w:jc w:val="both"/>
        <w:rPr>
          <w:lang w:val="be-BY"/>
        </w:rPr>
      </w:pPr>
      <w:r w:rsidRPr="009222D3">
        <w:rPr>
          <w:lang w:val="be-BY"/>
        </w:rPr>
        <w:t>активна работа по проекти и програми на Европейския съюз;</w:t>
      </w:r>
    </w:p>
    <w:p w14:paraId="0C8D6E9F" w14:textId="77777777" w:rsidR="00566C38" w:rsidRPr="006623F6" w:rsidRDefault="00566C38" w:rsidP="00566C38">
      <w:pPr>
        <w:tabs>
          <w:tab w:val="left" w:pos="851"/>
        </w:tabs>
        <w:ind w:left="1260" w:right="180"/>
        <w:jc w:val="both"/>
        <w:rPr>
          <w:lang w:val="be-BY"/>
        </w:rPr>
      </w:pPr>
    </w:p>
    <w:p w14:paraId="28D98E9F" w14:textId="77777777" w:rsidR="00566C38" w:rsidRPr="0098464D" w:rsidRDefault="00566C38" w:rsidP="00566C38">
      <w:pPr>
        <w:ind w:left="180" w:right="180"/>
        <w:jc w:val="both"/>
        <w:rPr>
          <w:lang w:val="be-BY"/>
        </w:rPr>
      </w:pPr>
      <w:r>
        <w:rPr>
          <w:lang w:val="be-BY"/>
        </w:rPr>
        <w:t xml:space="preserve">3. </w:t>
      </w:r>
      <w:r w:rsidRPr="001D2232">
        <w:rPr>
          <w:b/>
          <w:lang w:val="be-BY"/>
        </w:rPr>
        <w:t>Страгения за концентрация / специализация / ограничаване на дейността, закриване на дейности, други ограничителни мероприятия</w:t>
      </w:r>
      <w:r w:rsidRPr="006623F6">
        <w:rPr>
          <w:lang w:val="be-BY"/>
        </w:rPr>
        <w:t>.</w:t>
      </w:r>
    </w:p>
    <w:p w14:paraId="3D4140D4" w14:textId="77777777" w:rsidR="00566C38" w:rsidRPr="002228B1" w:rsidRDefault="004F6E7D" w:rsidP="004F6E7D">
      <w:pPr>
        <w:pStyle w:val="BodyText"/>
        <w:ind w:left="180" w:right="180"/>
        <w:jc w:val="both"/>
        <w:rPr>
          <w:rFonts w:ascii="Calibri" w:hAnsi="Calibri"/>
          <w:b/>
          <w:color w:val="E36C0A"/>
          <w:sz w:val="22"/>
        </w:rPr>
      </w:pPr>
      <w:r w:rsidRPr="002228B1">
        <w:rPr>
          <w:rFonts w:ascii="Calibri" w:hAnsi="Calibri"/>
          <w:b/>
          <w:color w:val="E36C0A"/>
          <w:sz w:val="22"/>
        </w:rPr>
        <w:t>Цели:</w:t>
      </w:r>
    </w:p>
    <w:p w14:paraId="0B60E168" w14:textId="77777777" w:rsidR="00566C38" w:rsidRPr="001D2232" w:rsidRDefault="00566C38" w:rsidP="002228B1">
      <w:pPr>
        <w:numPr>
          <w:ilvl w:val="0"/>
          <w:numId w:val="15"/>
        </w:numPr>
        <w:tabs>
          <w:tab w:val="clear" w:pos="2045"/>
        </w:tabs>
        <w:ind w:right="180" w:hanging="1903"/>
        <w:jc w:val="both"/>
        <w:rPr>
          <w:b/>
          <w:lang w:val="ru-RU"/>
        </w:rPr>
      </w:pPr>
      <w:r w:rsidRPr="001D2232">
        <w:rPr>
          <w:b/>
        </w:rPr>
        <w:t>Краткосрочни</w:t>
      </w:r>
      <w:r w:rsidRPr="001D2232">
        <w:rPr>
          <w:b/>
          <w:lang w:val="ru-RU"/>
        </w:rPr>
        <w:t>:</w:t>
      </w:r>
      <w:r w:rsidR="00E863B6">
        <w:rPr>
          <w:b/>
          <w:lang w:val="ru-RU"/>
        </w:rPr>
        <w:t xml:space="preserve"> </w:t>
      </w:r>
    </w:p>
    <w:p w14:paraId="1EB404D6" w14:textId="77777777" w:rsidR="00E863B6" w:rsidRPr="00E863B6" w:rsidRDefault="00566C38" w:rsidP="00E863B6">
      <w:pPr>
        <w:numPr>
          <w:ilvl w:val="0"/>
          <w:numId w:val="14"/>
        </w:numPr>
        <w:tabs>
          <w:tab w:val="left" w:pos="851"/>
        </w:tabs>
        <w:ind w:right="180"/>
        <w:jc w:val="both"/>
        <w:rPr>
          <w:lang w:val="be-BY"/>
        </w:rPr>
      </w:pPr>
      <w:r w:rsidRPr="00E863B6">
        <w:rPr>
          <w:lang w:val="be-BY"/>
        </w:rPr>
        <w:t xml:space="preserve">по отношение на финансовата стабилност - </w:t>
      </w:r>
      <w:r w:rsidR="00E863B6" w:rsidRPr="00E863B6">
        <w:rPr>
          <w:rFonts w:eastAsia="Times New Roman" w:cs="Arial"/>
        </w:rPr>
        <w:t xml:space="preserve"> погасяване на</w:t>
      </w:r>
      <w:r w:rsidR="00B5637A">
        <w:rPr>
          <w:rFonts w:eastAsia="Times New Roman" w:cs="Arial"/>
        </w:rPr>
        <w:t xml:space="preserve"> кредит и </w:t>
      </w:r>
      <w:r w:rsidR="00E863B6" w:rsidRPr="00E863B6">
        <w:rPr>
          <w:rFonts w:eastAsia="Times New Roman" w:cs="Arial"/>
        </w:rPr>
        <w:t xml:space="preserve"> 100% събираемост на вземанията;</w:t>
      </w:r>
    </w:p>
    <w:p w14:paraId="7B2A461A" w14:textId="77777777" w:rsidR="00566C38" w:rsidRPr="001D2232" w:rsidRDefault="00566C38" w:rsidP="002228B1">
      <w:pPr>
        <w:numPr>
          <w:ilvl w:val="0"/>
          <w:numId w:val="15"/>
        </w:numPr>
        <w:tabs>
          <w:tab w:val="clear" w:pos="2045"/>
        </w:tabs>
        <w:ind w:right="180" w:hanging="1903"/>
        <w:jc w:val="both"/>
        <w:rPr>
          <w:b/>
        </w:rPr>
      </w:pPr>
      <w:r w:rsidRPr="001D2232">
        <w:rPr>
          <w:b/>
        </w:rPr>
        <w:t>Дългосрочни:</w:t>
      </w:r>
    </w:p>
    <w:p w14:paraId="1FD054C6" w14:textId="77777777" w:rsidR="00566C38" w:rsidRPr="00B5637A" w:rsidRDefault="00D06378" w:rsidP="002228B1">
      <w:pPr>
        <w:numPr>
          <w:ilvl w:val="0"/>
          <w:numId w:val="14"/>
        </w:numPr>
        <w:tabs>
          <w:tab w:val="left" w:pos="851"/>
        </w:tabs>
        <w:ind w:right="180" w:hanging="693"/>
        <w:jc w:val="both"/>
        <w:rPr>
          <w:lang w:val="be-BY"/>
        </w:rPr>
      </w:pPr>
      <w:r w:rsidRPr="00D06378">
        <w:rPr>
          <w:rFonts w:eastAsia="Times New Roman" w:cs="Arial"/>
        </w:rPr>
        <w:t>оптимизиране на разходите</w:t>
      </w:r>
    </w:p>
    <w:p w14:paraId="1650F730" w14:textId="77777777" w:rsidR="00B5637A" w:rsidRPr="00D06378" w:rsidRDefault="00B5637A" w:rsidP="002228B1">
      <w:pPr>
        <w:numPr>
          <w:ilvl w:val="0"/>
          <w:numId w:val="14"/>
        </w:numPr>
        <w:tabs>
          <w:tab w:val="left" w:pos="851"/>
        </w:tabs>
        <w:ind w:right="180" w:hanging="693"/>
        <w:jc w:val="both"/>
        <w:rPr>
          <w:lang w:val="be-BY"/>
        </w:rPr>
      </w:pPr>
      <w:r>
        <w:rPr>
          <w:rFonts w:eastAsia="Times New Roman" w:cs="Arial"/>
        </w:rPr>
        <w:t>увеличаване на приходите, чрез разширен пакет от нови услуги</w:t>
      </w:r>
    </w:p>
    <w:p w14:paraId="3B27BC50" w14:textId="77777777" w:rsidR="00566C38" w:rsidRDefault="00566C38" w:rsidP="00566C38">
      <w:pPr>
        <w:pStyle w:val="BodyText"/>
        <w:ind w:left="180" w:right="180"/>
        <w:jc w:val="both"/>
        <w:rPr>
          <w:rFonts w:ascii="Calibri" w:hAnsi="Calibri"/>
          <w:b/>
          <w:color w:val="632423"/>
          <w:sz w:val="22"/>
          <w:u w:val="single"/>
        </w:rPr>
      </w:pPr>
    </w:p>
    <w:p w14:paraId="7E7014A9" w14:textId="77777777" w:rsidR="00566C38" w:rsidRPr="002228B1" w:rsidRDefault="004F6E7D" w:rsidP="00566C38">
      <w:pPr>
        <w:pStyle w:val="BodyText"/>
        <w:ind w:left="180" w:right="180"/>
        <w:jc w:val="both"/>
        <w:rPr>
          <w:rFonts w:ascii="Calibri" w:hAnsi="Calibri"/>
          <w:b/>
          <w:color w:val="E36C0A"/>
          <w:sz w:val="22"/>
        </w:rPr>
      </w:pPr>
      <w:r w:rsidRPr="002228B1">
        <w:rPr>
          <w:rFonts w:ascii="Calibri" w:hAnsi="Calibri"/>
          <w:b/>
          <w:color w:val="E36C0A"/>
          <w:sz w:val="22"/>
        </w:rPr>
        <w:t>Маркетингова дейност:</w:t>
      </w:r>
    </w:p>
    <w:p w14:paraId="2CD5A22A" w14:textId="77777777" w:rsidR="00566C38" w:rsidRDefault="00566C38" w:rsidP="00566C38">
      <w:pPr>
        <w:pStyle w:val="BodyText"/>
        <w:ind w:left="180" w:right="180"/>
        <w:jc w:val="both"/>
        <w:rPr>
          <w:rFonts w:ascii="Calibri" w:hAnsi="Calibri"/>
          <w:sz w:val="22"/>
        </w:rPr>
      </w:pPr>
      <w:r w:rsidRPr="00D00A3F">
        <w:rPr>
          <w:rFonts w:ascii="Calibri" w:hAnsi="Calibri"/>
          <w:sz w:val="22"/>
        </w:rPr>
        <w:t xml:space="preserve">В дружеството </w:t>
      </w:r>
      <w:r>
        <w:rPr>
          <w:rFonts w:ascii="Calibri" w:hAnsi="Calibri"/>
          <w:sz w:val="22"/>
        </w:rPr>
        <w:t xml:space="preserve">има разработени политики, свързани със </w:t>
      </w:r>
      <w:r w:rsidRPr="00D00A3F">
        <w:rPr>
          <w:rFonts w:ascii="Calibri" w:hAnsi="Calibri"/>
          <w:sz w:val="22"/>
        </w:rPr>
        <w:t>стратегически / тактически маркетинг</w:t>
      </w:r>
      <w:r>
        <w:rPr>
          <w:rFonts w:ascii="Calibri" w:hAnsi="Calibri"/>
          <w:sz w:val="22"/>
        </w:rPr>
        <w:t>. В стратегическия маркетинг водещи са продукта и целевите групи, за които е предназначен. Тактическият маркетинг засяга цената, позиционирането и промоционалните дейности.</w:t>
      </w:r>
    </w:p>
    <w:p w14:paraId="1ABAE806" w14:textId="77777777" w:rsidR="004F6E7D" w:rsidRDefault="004F6E7D" w:rsidP="00566C38">
      <w:pPr>
        <w:pStyle w:val="BodyText"/>
        <w:ind w:right="180"/>
        <w:jc w:val="both"/>
        <w:rPr>
          <w:rFonts w:ascii="Calibri" w:hAnsi="Calibri"/>
          <w:sz w:val="22"/>
        </w:rPr>
      </w:pPr>
    </w:p>
    <w:tbl>
      <w:tblPr>
        <w:tblW w:w="0" w:type="auto"/>
        <w:tblInd w:w="108" w:type="dxa"/>
        <w:tblLook w:val="04A0" w:firstRow="1" w:lastRow="0" w:firstColumn="1" w:lastColumn="0" w:noHBand="0" w:noVBand="1"/>
      </w:tblPr>
      <w:tblGrid>
        <w:gridCol w:w="5421"/>
        <w:gridCol w:w="3969"/>
      </w:tblGrid>
      <w:tr w:rsidR="00566C38" w:rsidRPr="00C62522" w14:paraId="68EA40A2" w14:textId="77777777" w:rsidTr="00985FAB">
        <w:tc>
          <w:tcPr>
            <w:tcW w:w="5421" w:type="dxa"/>
          </w:tcPr>
          <w:p w14:paraId="0F63DB97" w14:textId="77777777" w:rsidR="00566C38" w:rsidRPr="00C62522" w:rsidRDefault="00566C38" w:rsidP="00F51E2A">
            <w:pPr>
              <w:rPr>
                <w:b/>
              </w:rPr>
            </w:pPr>
            <w:r w:rsidRPr="00C62522">
              <w:rPr>
                <w:b/>
              </w:rPr>
              <w:t>Стратегически маркетинг</w:t>
            </w:r>
          </w:p>
        </w:tc>
        <w:tc>
          <w:tcPr>
            <w:tcW w:w="3969" w:type="dxa"/>
          </w:tcPr>
          <w:p w14:paraId="04EBE62F" w14:textId="77777777" w:rsidR="00566C38" w:rsidRPr="00C62522" w:rsidRDefault="00566C38" w:rsidP="00F51E2A">
            <w:pPr>
              <w:ind w:firstLine="248"/>
              <w:rPr>
                <w:b/>
              </w:rPr>
            </w:pPr>
            <w:r w:rsidRPr="00C62522">
              <w:rPr>
                <w:b/>
              </w:rPr>
              <w:t>Тактически маркетинг</w:t>
            </w:r>
          </w:p>
        </w:tc>
      </w:tr>
      <w:tr w:rsidR="00566C38" w:rsidRPr="00C62522" w14:paraId="16601244" w14:textId="77777777" w:rsidTr="00985FAB">
        <w:tc>
          <w:tcPr>
            <w:tcW w:w="5421" w:type="dxa"/>
          </w:tcPr>
          <w:p w14:paraId="7DBE8374" w14:textId="77777777" w:rsidR="00566C38" w:rsidRPr="006A12C5" w:rsidRDefault="00566C38" w:rsidP="002228B1">
            <w:pPr>
              <w:numPr>
                <w:ilvl w:val="0"/>
                <w:numId w:val="14"/>
              </w:numPr>
              <w:tabs>
                <w:tab w:val="left" w:pos="318"/>
              </w:tabs>
              <w:ind w:left="318" w:right="180" w:hanging="284"/>
              <w:jc w:val="both"/>
              <w:rPr>
                <w:lang w:val="be-BY"/>
              </w:rPr>
            </w:pPr>
            <w:r>
              <w:rPr>
                <w:lang w:val="be-BY"/>
              </w:rPr>
              <w:t>Познаване на клиентите</w:t>
            </w:r>
            <w:r w:rsidRPr="006A12C5">
              <w:rPr>
                <w:lang w:val="be-BY"/>
              </w:rPr>
              <w:t>/ целевата аудитория;</w:t>
            </w:r>
          </w:p>
        </w:tc>
        <w:tc>
          <w:tcPr>
            <w:tcW w:w="3969" w:type="dxa"/>
          </w:tcPr>
          <w:p w14:paraId="10C5FBF8" w14:textId="77777777" w:rsidR="00566C38" w:rsidRPr="006A12C5" w:rsidRDefault="00566C38" w:rsidP="002228B1">
            <w:pPr>
              <w:numPr>
                <w:ilvl w:val="0"/>
                <w:numId w:val="14"/>
              </w:numPr>
              <w:tabs>
                <w:tab w:val="left" w:pos="318"/>
              </w:tabs>
              <w:ind w:left="318" w:right="180" w:hanging="284"/>
              <w:jc w:val="both"/>
              <w:rPr>
                <w:lang w:val="be-BY"/>
              </w:rPr>
            </w:pPr>
            <w:r w:rsidRPr="006A12C5">
              <w:rPr>
                <w:lang w:val="be-BY"/>
              </w:rPr>
              <w:t xml:space="preserve">Реклама и промоции; </w:t>
            </w:r>
          </w:p>
        </w:tc>
      </w:tr>
      <w:tr w:rsidR="00566C38" w:rsidRPr="00C62522" w14:paraId="7EDD59EF" w14:textId="77777777" w:rsidTr="00985FAB">
        <w:tc>
          <w:tcPr>
            <w:tcW w:w="5421" w:type="dxa"/>
          </w:tcPr>
          <w:p w14:paraId="7EA984E1" w14:textId="77777777" w:rsidR="00566C38" w:rsidRPr="006A12C5" w:rsidRDefault="00566C38" w:rsidP="002228B1">
            <w:pPr>
              <w:numPr>
                <w:ilvl w:val="0"/>
                <w:numId w:val="14"/>
              </w:numPr>
              <w:tabs>
                <w:tab w:val="left" w:pos="318"/>
              </w:tabs>
              <w:ind w:left="318" w:right="180" w:hanging="284"/>
              <w:jc w:val="both"/>
              <w:rPr>
                <w:lang w:val="be-BY"/>
              </w:rPr>
            </w:pPr>
            <w:r w:rsidRPr="006A12C5">
              <w:rPr>
                <w:lang w:val="be-BY"/>
              </w:rPr>
              <w:t xml:space="preserve">Познаване в детайли характеристиките на </w:t>
            </w:r>
          </w:p>
        </w:tc>
        <w:tc>
          <w:tcPr>
            <w:tcW w:w="3969" w:type="dxa"/>
          </w:tcPr>
          <w:p w14:paraId="485BA532" w14:textId="77777777" w:rsidR="00566C38" w:rsidRPr="006A12C5" w:rsidRDefault="00566C38" w:rsidP="00D06378">
            <w:pPr>
              <w:tabs>
                <w:tab w:val="left" w:pos="318"/>
              </w:tabs>
              <w:ind w:left="318" w:right="180"/>
              <w:jc w:val="both"/>
              <w:rPr>
                <w:lang w:val="be-BY"/>
              </w:rPr>
            </w:pPr>
          </w:p>
        </w:tc>
      </w:tr>
      <w:tr w:rsidR="00566C38" w:rsidRPr="00C62522" w14:paraId="52BA3E72" w14:textId="77777777" w:rsidTr="00985FAB">
        <w:tc>
          <w:tcPr>
            <w:tcW w:w="5421" w:type="dxa"/>
          </w:tcPr>
          <w:p w14:paraId="0CD01FD0" w14:textId="77777777" w:rsidR="00566C38" w:rsidRPr="006A12C5" w:rsidRDefault="00566C38" w:rsidP="00F51E2A">
            <w:pPr>
              <w:tabs>
                <w:tab w:val="left" w:pos="318"/>
              </w:tabs>
              <w:ind w:right="180"/>
              <w:jc w:val="both"/>
              <w:rPr>
                <w:lang w:val="be-BY"/>
              </w:rPr>
            </w:pPr>
            <w:r>
              <w:rPr>
                <w:lang w:val="en-US"/>
              </w:rPr>
              <w:t xml:space="preserve">      </w:t>
            </w:r>
            <w:r w:rsidRPr="006A12C5">
              <w:rPr>
                <w:lang w:val="be-BY"/>
              </w:rPr>
              <w:t>продуктите / услугите;</w:t>
            </w:r>
          </w:p>
        </w:tc>
        <w:tc>
          <w:tcPr>
            <w:tcW w:w="3969" w:type="dxa"/>
          </w:tcPr>
          <w:p w14:paraId="276116F3" w14:textId="77777777" w:rsidR="00566C38" w:rsidRPr="006A12C5" w:rsidRDefault="00566C38" w:rsidP="002228B1">
            <w:pPr>
              <w:numPr>
                <w:ilvl w:val="0"/>
                <w:numId w:val="14"/>
              </w:numPr>
              <w:tabs>
                <w:tab w:val="left" w:pos="318"/>
              </w:tabs>
              <w:ind w:left="318" w:right="180" w:hanging="284"/>
              <w:jc w:val="both"/>
              <w:rPr>
                <w:lang w:val="be-BY"/>
              </w:rPr>
            </w:pPr>
            <w:r w:rsidRPr="006A12C5">
              <w:rPr>
                <w:lang w:val="be-BY"/>
              </w:rPr>
              <w:t>Интернет маркетинг;</w:t>
            </w:r>
          </w:p>
        </w:tc>
      </w:tr>
      <w:tr w:rsidR="00566C38" w:rsidRPr="00C62522" w14:paraId="78F5221B" w14:textId="77777777" w:rsidTr="00985FAB">
        <w:tc>
          <w:tcPr>
            <w:tcW w:w="5421" w:type="dxa"/>
          </w:tcPr>
          <w:p w14:paraId="4DFA70E8" w14:textId="77777777" w:rsidR="00566C38" w:rsidRPr="006A12C5" w:rsidRDefault="00566C38" w:rsidP="002228B1">
            <w:pPr>
              <w:numPr>
                <w:ilvl w:val="0"/>
                <w:numId w:val="14"/>
              </w:numPr>
              <w:tabs>
                <w:tab w:val="left" w:pos="318"/>
              </w:tabs>
              <w:ind w:left="318" w:right="180" w:hanging="284"/>
              <w:jc w:val="both"/>
              <w:rPr>
                <w:lang w:val="be-BY"/>
              </w:rPr>
            </w:pPr>
            <w:r w:rsidRPr="006A12C5">
              <w:rPr>
                <w:lang w:val="be-BY"/>
              </w:rPr>
              <w:t xml:space="preserve">Мониторинг на конкуренцията и конкурентните </w:t>
            </w:r>
            <w:r w:rsidRPr="006A12C5">
              <w:rPr>
                <w:lang w:val="be-BY"/>
              </w:rPr>
              <w:lastRenderedPageBreak/>
              <w:t>оферти;</w:t>
            </w:r>
          </w:p>
        </w:tc>
        <w:tc>
          <w:tcPr>
            <w:tcW w:w="3969" w:type="dxa"/>
          </w:tcPr>
          <w:p w14:paraId="1BCA57CA" w14:textId="77777777" w:rsidR="00566C38" w:rsidRPr="006A12C5" w:rsidRDefault="00566C38" w:rsidP="002228B1">
            <w:pPr>
              <w:numPr>
                <w:ilvl w:val="0"/>
                <w:numId w:val="14"/>
              </w:numPr>
              <w:tabs>
                <w:tab w:val="left" w:pos="318"/>
              </w:tabs>
              <w:ind w:left="318" w:right="180" w:hanging="284"/>
              <w:jc w:val="both"/>
              <w:rPr>
                <w:lang w:val="be-BY"/>
              </w:rPr>
            </w:pPr>
            <w:r w:rsidRPr="006A12C5">
              <w:rPr>
                <w:lang w:val="be-BY"/>
              </w:rPr>
              <w:lastRenderedPageBreak/>
              <w:t>Ценообразуване;</w:t>
            </w:r>
          </w:p>
          <w:p w14:paraId="3C969C40" w14:textId="77777777" w:rsidR="00566C38" w:rsidRPr="006A12C5" w:rsidRDefault="00566C38" w:rsidP="00D06378">
            <w:pPr>
              <w:tabs>
                <w:tab w:val="left" w:pos="318"/>
              </w:tabs>
              <w:ind w:left="34" w:right="180"/>
              <w:jc w:val="both"/>
              <w:rPr>
                <w:lang w:val="be-BY"/>
              </w:rPr>
            </w:pPr>
          </w:p>
        </w:tc>
      </w:tr>
      <w:tr w:rsidR="00566C38" w:rsidRPr="00C62522" w14:paraId="1CA1A295" w14:textId="77777777" w:rsidTr="00985FAB">
        <w:tc>
          <w:tcPr>
            <w:tcW w:w="5421" w:type="dxa"/>
          </w:tcPr>
          <w:p w14:paraId="6F2A645C" w14:textId="77777777" w:rsidR="00566C38" w:rsidRPr="006A12C5" w:rsidRDefault="00566C38" w:rsidP="002228B1">
            <w:pPr>
              <w:numPr>
                <w:ilvl w:val="0"/>
                <w:numId w:val="14"/>
              </w:numPr>
              <w:tabs>
                <w:tab w:val="left" w:pos="318"/>
              </w:tabs>
              <w:ind w:left="318" w:right="180" w:hanging="284"/>
              <w:jc w:val="both"/>
              <w:rPr>
                <w:lang w:val="be-BY"/>
              </w:rPr>
            </w:pPr>
            <w:r w:rsidRPr="006A12C5">
              <w:rPr>
                <w:lang w:val="be-BY"/>
              </w:rPr>
              <w:lastRenderedPageBreak/>
              <w:t>Налаганена търговската марка.</w:t>
            </w:r>
          </w:p>
        </w:tc>
        <w:tc>
          <w:tcPr>
            <w:tcW w:w="3969" w:type="dxa"/>
          </w:tcPr>
          <w:p w14:paraId="485915AE" w14:textId="77777777" w:rsidR="00566C38" w:rsidRPr="006A12C5" w:rsidRDefault="00566C38" w:rsidP="002228B1">
            <w:pPr>
              <w:numPr>
                <w:ilvl w:val="0"/>
                <w:numId w:val="14"/>
              </w:numPr>
              <w:tabs>
                <w:tab w:val="left" w:pos="318"/>
              </w:tabs>
              <w:ind w:left="318" w:right="180" w:hanging="284"/>
              <w:jc w:val="both"/>
              <w:rPr>
                <w:lang w:val="be-BY"/>
              </w:rPr>
            </w:pPr>
            <w:r w:rsidRPr="006A12C5">
              <w:rPr>
                <w:lang w:val="be-BY"/>
              </w:rPr>
              <w:t>Управление на връзките с клиенти.</w:t>
            </w:r>
          </w:p>
        </w:tc>
      </w:tr>
    </w:tbl>
    <w:p w14:paraId="7FE6F6F5" w14:textId="77777777" w:rsidR="00566C38" w:rsidRDefault="00566C38" w:rsidP="00566C38">
      <w:pPr>
        <w:pStyle w:val="BodyText"/>
        <w:ind w:left="180" w:right="180"/>
        <w:jc w:val="both"/>
        <w:rPr>
          <w:rFonts w:ascii="Calibri" w:hAnsi="Calibri"/>
          <w:b/>
          <w:color w:val="632423"/>
          <w:sz w:val="22"/>
          <w:u w:val="single"/>
        </w:rPr>
      </w:pPr>
    </w:p>
    <w:p w14:paraId="5A9D041F" w14:textId="77777777" w:rsidR="00566C38" w:rsidRPr="002228B1" w:rsidRDefault="00566C38" w:rsidP="00CE20E6">
      <w:pPr>
        <w:pStyle w:val="BodyText"/>
        <w:ind w:left="180" w:right="180"/>
        <w:jc w:val="both"/>
        <w:rPr>
          <w:rFonts w:ascii="Calibri" w:hAnsi="Calibri"/>
          <w:b/>
          <w:color w:val="E36C0A"/>
          <w:sz w:val="22"/>
        </w:rPr>
      </w:pPr>
      <w:r w:rsidRPr="002228B1">
        <w:rPr>
          <w:rFonts w:ascii="Calibri" w:hAnsi="Calibri"/>
          <w:b/>
          <w:color w:val="E36C0A"/>
          <w:sz w:val="22"/>
        </w:rPr>
        <w:t>Фирмени пол</w:t>
      </w:r>
      <w:r w:rsidR="00CE20E6" w:rsidRPr="002228B1">
        <w:rPr>
          <w:rFonts w:ascii="Calibri" w:hAnsi="Calibri"/>
          <w:b/>
          <w:color w:val="E36C0A"/>
          <w:sz w:val="22"/>
        </w:rPr>
        <w:t>итики:</w:t>
      </w:r>
    </w:p>
    <w:p w14:paraId="54B4017C" w14:textId="77777777" w:rsidR="00566C38" w:rsidRPr="006A12C5" w:rsidRDefault="00566C38" w:rsidP="00566C38">
      <w:pPr>
        <w:pStyle w:val="Heading4"/>
        <w:ind w:left="180" w:right="180"/>
        <w:jc w:val="both"/>
        <w:rPr>
          <w:rFonts w:ascii="Calibri" w:hAnsi="Calibri"/>
          <w:sz w:val="22"/>
        </w:rPr>
      </w:pPr>
      <w:r w:rsidRPr="006A12C5">
        <w:rPr>
          <w:rFonts w:ascii="Calibri" w:hAnsi="Calibri"/>
          <w:sz w:val="22"/>
        </w:rPr>
        <w:t>Продуктова политика</w:t>
      </w:r>
      <w:r>
        <w:rPr>
          <w:rFonts w:ascii="Calibri" w:hAnsi="Calibri"/>
          <w:sz w:val="22"/>
        </w:rPr>
        <w:t>:</w:t>
      </w:r>
    </w:p>
    <w:p w14:paraId="18A9E54A" w14:textId="77777777" w:rsidR="00566C38" w:rsidRPr="006A12C5" w:rsidRDefault="00566C38" w:rsidP="002228B1">
      <w:pPr>
        <w:numPr>
          <w:ilvl w:val="0"/>
          <w:numId w:val="14"/>
        </w:numPr>
        <w:tabs>
          <w:tab w:val="left" w:pos="851"/>
        </w:tabs>
        <w:ind w:right="180" w:hanging="693"/>
        <w:jc w:val="both"/>
        <w:rPr>
          <w:lang w:val="be-BY"/>
        </w:rPr>
      </w:pPr>
      <w:r w:rsidRPr="006A12C5">
        <w:rPr>
          <w:lang w:val="be-BY"/>
        </w:rPr>
        <w:t>Ви</w:t>
      </w:r>
      <w:r w:rsidR="000215EC">
        <w:rPr>
          <w:lang w:val="be-BY"/>
        </w:rPr>
        <w:t>соко качество на</w:t>
      </w:r>
      <w:r w:rsidRPr="006A12C5">
        <w:rPr>
          <w:lang w:val="be-BY"/>
        </w:rPr>
        <w:t xml:space="preserve"> предлаганите услуги;</w:t>
      </w:r>
    </w:p>
    <w:p w14:paraId="48CE094C" w14:textId="77777777" w:rsidR="00566C38" w:rsidRPr="006A12C5" w:rsidRDefault="00566C38" w:rsidP="002228B1">
      <w:pPr>
        <w:numPr>
          <w:ilvl w:val="0"/>
          <w:numId w:val="14"/>
        </w:numPr>
        <w:tabs>
          <w:tab w:val="left" w:pos="851"/>
        </w:tabs>
        <w:ind w:right="180" w:hanging="693"/>
        <w:jc w:val="both"/>
        <w:rPr>
          <w:lang w:val="be-BY"/>
        </w:rPr>
      </w:pPr>
      <w:r w:rsidRPr="006A12C5">
        <w:rPr>
          <w:lang w:val="be-BY"/>
        </w:rPr>
        <w:t>Стриктно спазване срока за изпълнение;</w:t>
      </w:r>
    </w:p>
    <w:p w14:paraId="2347720B" w14:textId="77777777" w:rsidR="00566C38" w:rsidRPr="006A12C5" w:rsidRDefault="000215EC" w:rsidP="002228B1">
      <w:pPr>
        <w:numPr>
          <w:ilvl w:val="0"/>
          <w:numId w:val="14"/>
        </w:numPr>
        <w:tabs>
          <w:tab w:val="left" w:pos="851"/>
        </w:tabs>
        <w:ind w:right="180" w:hanging="693"/>
        <w:jc w:val="both"/>
        <w:rPr>
          <w:lang w:val="be-BY"/>
        </w:rPr>
      </w:pPr>
      <w:r>
        <w:rPr>
          <w:lang w:val="be-BY"/>
        </w:rPr>
        <w:t xml:space="preserve">Използване на </w:t>
      </w:r>
      <w:r w:rsidR="00566C38" w:rsidRPr="006A12C5">
        <w:rPr>
          <w:lang w:val="be-BY"/>
        </w:rPr>
        <w:t xml:space="preserve"> материали с доказано качество;</w:t>
      </w:r>
    </w:p>
    <w:p w14:paraId="06EEC3C6" w14:textId="77777777" w:rsidR="00566C38" w:rsidRPr="006623F6" w:rsidRDefault="00566C38" w:rsidP="000215EC">
      <w:pPr>
        <w:numPr>
          <w:ilvl w:val="0"/>
          <w:numId w:val="14"/>
        </w:numPr>
        <w:tabs>
          <w:tab w:val="left" w:pos="851"/>
        </w:tabs>
        <w:ind w:right="180" w:hanging="693"/>
        <w:jc w:val="both"/>
      </w:pPr>
      <w:r>
        <w:rPr>
          <w:lang w:val="be-BY"/>
        </w:rPr>
        <w:t>Продуктова стратегия за позициониране</w:t>
      </w:r>
    </w:p>
    <w:p w14:paraId="10D94A1D" w14:textId="77777777" w:rsidR="000215EC" w:rsidRDefault="000215EC" w:rsidP="00566C38">
      <w:pPr>
        <w:pStyle w:val="Heading4"/>
        <w:ind w:left="180" w:right="180"/>
        <w:jc w:val="both"/>
        <w:rPr>
          <w:rFonts w:ascii="Calibri" w:hAnsi="Calibri"/>
          <w:sz w:val="22"/>
        </w:rPr>
      </w:pPr>
    </w:p>
    <w:p w14:paraId="7AFD0370" w14:textId="77777777" w:rsidR="00566C38" w:rsidRDefault="00566C38" w:rsidP="00566C38">
      <w:pPr>
        <w:pStyle w:val="Heading4"/>
        <w:ind w:left="180" w:right="180"/>
        <w:jc w:val="both"/>
        <w:rPr>
          <w:rFonts w:ascii="Calibri" w:hAnsi="Calibri"/>
          <w:sz w:val="22"/>
        </w:rPr>
      </w:pPr>
      <w:r w:rsidRPr="006A12C5">
        <w:rPr>
          <w:rFonts w:ascii="Calibri" w:hAnsi="Calibri"/>
          <w:sz w:val="22"/>
        </w:rPr>
        <w:t>Пласментна политика</w:t>
      </w:r>
      <w:r>
        <w:rPr>
          <w:rFonts w:ascii="Calibri" w:hAnsi="Calibri"/>
          <w:sz w:val="22"/>
        </w:rPr>
        <w:t>:</w:t>
      </w:r>
    </w:p>
    <w:p w14:paraId="5779D5C6" w14:textId="77777777" w:rsidR="00566C38" w:rsidRPr="006A12C5" w:rsidRDefault="00566C38" w:rsidP="002228B1">
      <w:pPr>
        <w:numPr>
          <w:ilvl w:val="0"/>
          <w:numId w:val="14"/>
        </w:numPr>
        <w:tabs>
          <w:tab w:val="left" w:pos="851"/>
        </w:tabs>
        <w:ind w:right="180" w:hanging="693"/>
        <w:jc w:val="both"/>
        <w:rPr>
          <w:lang w:val="be-BY"/>
        </w:rPr>
      </w:pPr>
      <w:r w:rsidRPr="006A12C5">
        <w:rPr>
          <w:lang w:val="be-BY"/>
        </w:rPr>
        <w:t>Преки канали за реализация;</w:t>
      </w:r>
    </w:p>
    <w:p w14:paraId="780AF0F5" w14:textId="77777777" w:rsidR="00566C38" w:rsidRPr="006A12C5" w:rsidRDefault="00566C38" w:rsidP="002228B1">
      <w:pPr>
        <w:numPr>
          <w:ilvl w:val="0"/>
          <w:numId w:val="14"/>
        </w:numPr>
        <w:tabs>
          <w:tab w:val="left" w:pos="851"/>
        </w:tabs>
        <w:ind w:right="180" w:hanging="693"/>
        <w:jc w:val="both"/>
        <w:rPr>
          <w:lang w:val="be-BY"/>
        </w:rPr>
      </w:pPr>
      <w:r w:rsidRPr="006A12C5">
        <w:rPr>
          <w:lang w:val="be-BY"/>
        </w:rPr>
        <w:t>Резервационна система;</w:t>
      </w:r>
    </w:p>
    <w:p w14:paraId="56CAD3A6" w14:textId="77777777" w:rsidR="00566C38" w:rsidRPr="006A12C5" w:rsidRDefault="00566C38" w:rsidP="002228B1">
      <w:pPr>
        <w:numPr>
          <w:ilvl w:val="0"/>
          <w:numId w:val="14"/>
        </w:numPr>
        <w:tabs>
          <w:tab w:val="left" w:pos="851"/>
        </w:tabs>
        <w:ind w:right="180" w:hanging="693"/>
        <w:jc w:val="both"/>
        <w:rPr>
          <w:lang w:val="be-BY"/>
        </w:rPr>
      </w:pPr>
      <w:r w:rsidRPr="006A12C5">
        <w:rPr>
          <w:lang w:val="be-BY"/>
        </w:rPr>
        <w:t>Присъствие на потребителски и индустриален сегмент;</w:t>
      </w:r>
    </w:p>
    <w:p w14:paraId="3E266FD5" w14:textId="77777777" w:rsidR="00566C38" w:rsidRPr="006A12C5" w:rsidRDefault="00566C38" w:rsidP="002228B1">
      <w:pPr>
        <w:numPr>
          <w:ilvl w:val="0"/>
          <w:numId w:val="14"/>
        </w:numPr>
        <w:tabs>
          <w:tab w:val="left" w:pos="851"/>
        </w:tabs>
        <w:ind w:right="180" w:hanging="693"/>
        <w:jc w:val="both"/>
        <w:rPr>
          <w:lang w:val="be-BY"/>
        </w:rPr>
      </w:pPr>
      <w:r w:rsidRPr="006A12C5">
        <w:rPr>
          <w:lang w:val="be-BY"/>
        </w:rPr>
        <w:t>Разработване на непреки канали за реализация на  услугите;</w:t>
      </w:r>
    </w:p>
    <w:p w14:paraId="639D00C3" w14:textId="77777777" w:rsidR="00566C38" w:rsidRPr="006623F6" w:rsidRDefault="00566C38" w:rsidP="00566C38">
      <w:pPr>
        <w:ind w:right="180"/>
        <w:jc w:val="both"/>
      </w:pPr>
    </w:p>
    <w:p w14:paraId="1933367F" w14:textId="77777777" w:rsidR="00566C38" w:rsidRPr="006A12C5" w:rsidRDefault="00566C38" w:rsidP="00566C38">
      <w:pPr>
        <w:pStyle w:val="Heading4"/>
        <w:ind w:left="180" w:right="180"/>
        <w:jc w:val="both"/>
        <w:rPr>
          <w:rFonts w:ascii="Calibri" w:hAnsi="Calibri"/>
          <w:sz w:val="22"/>
        </w:rPr>
      </w:pPr>
      <w:r w:rsidRPr="006A12C5">
        <w:rPr>
          <w:rFonts w:ascii="Calibri" w:hAnsi="Calibri"/>
          <w:sz w:val="22"/>
        </w:rPr>
        <w:t>Ценова политика</w:t>
      </w:r>
      <w:r>
        <w:rPr>
          <w:rFonts w:ascii="Calibri" w:hAnsi="Calibri"/>
          <w:sz w:val="22"/>
        </w:rPr>
        <w:t>:</w:t>
      </w:r>
    </w:p>
    <w:p w14:paraId="5CBE7110" w14:textId="77777777" w:rsidR="00566C38" w:rsidRPr="006A12C5" w:rsidRDefault="00566C38" w:rsidP="002228B1">
      <w:pPr>
        <w:numPr>
          <w:ilvl w:val="0"/>
          <w:numId w:val="14"/>
        </w:numPr>
        <w:tabs>
          <w:tab w:val="left" w:pos="851"/>
        </w:tabs>
        <w:ind w:right="180" w:hanging="693"/>
        <w:jc w:val="both"/>
        <w:rPr>
          <w:lang w:val="be-BY"/>
        </w:rPr>
      </w:pPr>
      <w:r w:rsidRPr="006A12C5">
        <w:rPr>
          <w:lang w:val="be-BY"/>
        </w:rPr>
        <w:t>Следящи конкуренцията цени;</w:t>
      </w:r>
    </w:p>
    <w:p w14:paraId="1104653B" w14:textId="77777777" w:rsidR="00566C38" w:rsidRPr="006A12C5" w:rsidRDefault="00566C38" w:rsidP="002228B1">
      <w:pPr>
        <w:numPr>
          <w:ilvl w:val="0"/>
          <w:numId w:val="14"/>
        </w:numPr>
        <w:tabs>
          <w:tab w:val="left" w:pos="851"/>
        </w:tabs>
        <w:ind w:right="180" w:hanging="693"/>
        <w:jc w:val="both"/>
        <w:rPr>
          <w:lang w:val="be-BY"/>
        </w:rPr>
      </w:pPr>
      <w:r w:rsidRPr="006A12C5">
        <w:rPr>
          <w:lang w:val="be-BY"/>
        </w:rPr>
        <w:t>Използване на “Пазарно-ориентиеран метод на ценообразуване”;</w:t>
      </w:r>
    </w:p>
    <w:p w14:paraId="70AC49EB" w14:textId="77777777" w:rsidR="00566C38" w:rsidRPr="006A12C5" w:rsidRDefault="00566C38" w:rsidP="002228B1">
      <w:pPr>
        <w:numPr>
          <w:ilvl w:val="0"/>
          <w:numId w:val="14"/>
        </w:numPr>
        <w:tabs>
          <w:tab w:val="left" w:pos="851"/>
        </w:tabs>
        <w:ind w:right="180" w:hanging="693"/>
        <w:jc w:val="both"/>
        <w:rPr>
          <w:lang w:val="be-BY"/>
        </w:rPr>
      </w:pPr>
      <w:r w:rsidRPr="006A12C5">
        <w:rPr>
          <w:lang w:val="be-BY"/>
        </w:rPr>
        <w:t>Принцип на ценови отстъпки;</w:t>
      </w:r>
    </w:p>
    <w:p w14:paraId="1C9CB323" w14:textId="77777777" w:rsidR="00566C38" w:rsidRPr="006A12C5" w:rsidRDefault="00566C38" w:rsidP="002228B1">
      <w:pPr>
        <w:numPr>
          <w:ilvl w:val="0"/>
          <w:numId w:val="14"/>
        </w:numPr>
        <w:tabs>
          <w:tab w:val="left" w:pos="851"/>
        </w:tabs>
        <w:ind w:right="180" w:hanging="693"/>
        <w:jc w:val="both"/>
        <w:rPr>
          <w:lang w:val="be-BY"/>
        </w:rPr>
      </w:pPr>
      <w:r w:rsidRPr="006A12C5">
        <w:rPr>
          <w:lang w:val="be-BY"/>
        </w:rPr>
        <w:t xml:space="preserve">Преференциални цени за контрагенти с дългосрочна договореност; </w:t>
      </w:r>
    </w:p>
    <w:p w14:paraId="4290F572" w14:textId="77777777" w:rsidR="00566C38" w:rsidRPr="006A12C5" w:rsidRDefault="00566C38" w:rsidP="002228B1">
      <w:pPr>
        <w:numPr>
          <w:ilvl w:val="0"/>
          <w:numId w:val="14"/>
        </w:numPr>
        <w:tabs>
          <w:tab w:val="left" w:pos="851"/>
        </w:tabs>
        <w:ind w:right="180" w:hanging="693"/>
        <w:jc w:val="both"/>
        <w:rPr>
          <w:lang w:val="be-BY"/>
        </w:rPr>
      </w:pPr>
      <w:r w:rsidRPr="006A12C5">
        <w:rPr>
          <w:lang w:val="be-BY"/>
        </w:rPr>
        <w:t>Система на отстъпки за количества;</w:t>
      </w:r>
    </w:p>
    <w:p w14:paraId="4E24E4F0" w14:textId="77777777" w:rsidR="00566C38" w:rsidRPr="006A12C5" w:rsidRDefault="00566C38" w:rsidP="000215EC">
      <w:pPr>
        <w:tabs>
          <w:tab w:val="left" w:pos="851"/>
        </w:tabs>
        <w:ind w:left="927" w:right="180"/>
        <w:jc w:val="both"/>
        <w:rPr>
          <w:lang w:val="be-BY"/>
        </w:rPr>
      </w:pPr>
    </w:p>
    <w:p w14:paraId="786FB2CF" w14:textId="77777777" w:rsidR="00566C38" w:rsidRPr="006A12C5" w:rsidRDefault="00566C38" w:rsidP="00566C38">
      <w:pPr>
        <w:pStyle w:val="Heading4"/>
        <w:ind w:left="180" w:right="180"/>
        <w:jc w:val="both"/>
        <w:rPr>
          <w:rFonts w:ascii="Calibri" w:hAnsi="Calibri"/>
          <w:sz w:val="22"/>
        </w:rPr>
      </w:pPr>
      <w:r w:rsidRPr="006A12C5">
        <w:rPr>
          <w:rFonts w:ascii="Calibri" w:hAnsi="Calibri"/>
          <w:sz w:val="22"/>
        </w:rPr>
        <w:t>Рекламна политика</w:t>
      </w:r>
      <w:r>
        <w:rPr>
          <w:rFonts w:ascii="Calibri" w:hAnsi="Calibri"/>
          <w:sz w:val="22"/>
        </w:rPr>
        <w:t>:</w:t>
      </w:r>
    </w:p>
    <w:p w14:paraId="702BB76B" w14:textId="77777777" w:rsidR="00566C38" w:rsidRPr="007D0D17" w:rsidRDefault="00566C38" w:rsidP="002228B1">
      <w:pPr>
        <w:numPr>
          <w:ilvl w:val="0"/>
          <w:numId w:val="14"/>
        </w:numPr>
        <w:tabs>
          <w:tab w:val="left" w:pos="851"/>
        </w:tabs>
        <w:ind w:left="851" w:right="180" w:hanging="284"/>
        <w:jc w:val="both"/>
        <w:rPr>
          <w:lang w:val="be-BY"/>
        </w:rPr>
      </w:pPr>
      <w:r w:rsidRPr="007D0D17">
        <w:rPr>
          <w:lang w:val="be-BY"/>
        </w:rPr>
        <w:t>Рекламен бюджет, обвързан с реализираните приходи;</w:t>
      </w:r>
    </w:p>
    <w:p w14:paraId="58286667" w14:textId="77777777" w:rsidR="00566C38" w:rsidRPr="007D0D17" w:rsidRDefault="00566C38" w:rsidP="002228B1">
      <w:pPr>
        <w:numPr>
          <w:ilvl w:val="0"/>
          <w:numId w:val="14"/>
        </w:numPr>
        <w:tabs>
          <w:tab w:val="left" w:pos="851"/>
        </w:tabs>
        <w:ind w:left="851" w:right="180" w:hanging="284"/>
        <w:jc w:val="both"/>
        <w:rPr>
          <w:lang w:val="be-BY"/>
        </w:rPr>
      </w:pPr>
      <w:r w:rsidRPr="007D0D17">
        <w:rPr>
          <w:lang w:val="be-BY"/>
        </w:rPr>
        <w:t>Рекламен канал на принципа на снежната топка, т.е. клиент = доволен клиент = двама клиенти;</w:t>
      </w:r>
    </w:p>
    <w:p w14:paraId="20ED51DD" w14:textId="77777777" w:rsidR="00566C38" w:rsidRPr="007D0D17" w:rsidRDefault="00566C38" w:rsidP="002228B1">
      <w:pPr>
        <w:numPr>
          <w:ilvl w:val="0"/>
          <w:numId w:val="14"/>
        </w:numPr>
        <w:tabs>
          <w:tab w:val="left" w:pos="851"/>
        </w:tabs>
        <w:ind w:left="851" w:right="180" w:hanging="284"/>
        <w:jc w:val="both"/>
        <w:rPr>
          <w:lang w:val="be-BY"/>
        </w:rPr>
      </w:pPr>
      <w:r w:rsidRPr="007D0D17">
        <w:rPr>
          <w:lang w:val="be-BY"/>
        </w:rPr>
        <w:t>ПР дейности;</w:t>
      </w:r>
    </w:p>
    <w:p w14:paraId="4B6A59F6" w14:textId="77777777" w:rsidR="00566C38" w:rsidRPr="007D0D17" w:rsidRDefault="00566C38" w:rsidP="002228B1">
      <w:pPr>
        <w:numPr>
          <w:ilvl w:val="0"/>
          <w:numId w:val="14"/>
        </w:numPr>
        <w:tabs>
          <w:tab w:val="left" w:pos="851"/>
        </w:tabs>
        <w:ind w:left="851" w:right="180" w:hanging="284"/>
        <w:jc w:val="both"/>
        <w:rPr>
          <w:lang w:val="be-BY"/>
        </w:rPr>
      </w:pPr>
      <w:r w:rsidRPr="007D0D17">
        <w:rPr>
          <w:lang w:val="be-BY"/>
        </w:rPr>
        <w:t>Управление на връзките с клиенти;</w:t>
      </w:r>
    </w:p>
    <w:p w14:paraId="4A0A0191" w14:textId="77777777" w:rsidR="00566C38" w:rsidRPr="007D0D17" w:rsidRDefault="00566C38" w:rsidP="002228B1">
      <w:pPr>
        <w:numPr>
          <w:ilvl w:val="0"/>
          <w:numId w:val="14"/>
        </w:numPr>
        <w:tabs>
          <w:tab w:val="left" w:pos="851"/>
        </w:tabs>
        <w:ind w:left="851" w:right="180" w:hanging="284"/>
        <w:jc w:val="both"/>
        <w:rPr>
          <w:lang w:val="be-BY"/>
        </w:rPr>
      </w:pPr>
      <w:r w:rsidRPr="007D0D17">
        <w:rPr>
          <w:lang w:val="be-BY"/>
        </w:rPr>
        <w:t>Прилаган промоционален микс (комбинация от: Реклама + Лични продажби + Стимулиране на продажбите + PR активност);</w:t>
      </w:r>
    </w:p>
    <w:p w14:paraId="7CEAF149" w14:textId="77777777" w:rsidR="00566C38" w:rsidRPr="006623F6" w:rsidRDefault="00566C38" w:rsidP="00566C38">
      <w:pPr>
        <w:pStyle w:val="BodyTextIndent"/>
        <w:tabs>
          <w:tab w:val="num" w:pos="1080"/>
        </w:tabs>
        <w:ind w:right="180"/>
        <w:rPr>
          <w:b/>
          <w:i/>
        </w:rPr>
      </w:pPr>
    </w:p>
    <w:p w14:paraId="5C378703" w14:textId="77777777" w:rsidR="00566C38" w:rsidRPr="006A12C5" w:rsidRDefault="00566C38" w:rsidP="00566C38">
      <w:pPr>
        <w:pStyle w:val="Heading4"/>
        <w:ind w:left="180" w:right="180"/>
        <w:jc w:val="both"/>
        <w:rPr>
          <w:rFonts w:ascii="Calibri" w:hAnsi="Calibri"/>
          <w:sz w:val="22"/>
        </w:rPr>
      </w:pPr>
      <w:r w:rsidRPr="006A12C5">
        <w:rPr>
          <w:rFonts w:ascii="Calibri" w:hAnsi="Calibri"/>
          <w:sz w:val="22"/>
        </w:rPr>
        <w:t>Договорна политика</w:t>
      </w:r>
      <w:r>
        <w:rPr>
          <w:rFonts w:ascii="Calibri" w:hAnsi="Calibri"/>
          <w:sz w:val="22"/>
        </w:rPr>
        <w:t>:</w:t>
      </w:r>
    </w:p>
    <w:p w14:paraId="594363EB" w14:textId="77777777" w:rsidR="00566C38" w:rsidRPr="007D0D17" w:rsidRDefault="00566C38" w:rsidP="002228B1">
      <w:pPr>
        <w:numPr>
          <w:ilvl w:val="0"/>
          <w:numId w:val="14"/>
        </w:numPr>
        <w:tabs>
          <w:tab w:val="left" w:pos="851"/>
        </w:tabs>
        <w:ind w:left="851" w:right="180" w:hanging="284"/>
        <w:jc w:val="both"/>
        <w:rPr>
          <w:lang w:val="be-BY"/>
        </w:rPr>
      </w:pPr>
      <w:r w:rsidRPr="007D0D17">
        <w:rPr>
          <w:lang w:val="be-BY"/>
        </w:rPr>
        <w:t>Дългосрочно договаряне с клиенти;</w:t>
      </w:r>
    </w:p>
    <w:p w14:paraId="095D0272" w14:textId="77777777" w:rsidR="00566C38" w:rsidRPr="007D0D17" w:rsidRDefault="00566C38" w:rsidP="002228B1">
      <w:pPr>
        <w:numPr>
          <w:ilvl w:val="0"/>
          <w:numId w:val="14"/>
        </w:numPr>
        <w:tabs>
          <w:tab w:val="left" w:pos="851"/>
        </w:tabs>
        <w:ind w:left="851" w:right="180" w:hanging="284"/>
        <w:jc w:val="both"/>
        <w:rPr>
          <w:lang w:val="be-BY"/>
        </w:rPr>
      </w:pPr>
      <w:r w:rsidRPr="007D0D17">
        <w:rPr>
          <w:lang w:val="be-BY"/>
        </w:rPr>
        <w:t>Дългосрочно договаряне с доставчици;</w:t>
      </w:r>
    </w:p>
    <w:p w14:paraId="50337B3F" w14:textId="77777777" w:rsidR="00566C38" w:rsidRPr="007D0D17" w:rsidRDefault="00566C38" w:rsidP="002228B1">
      <w:pPr>
        <w:numPr>
          <w:ilvl w:val="0"/>
          <w:numId w:val="14"/>
        </w:numPr>
        <w:tabs>
          <w:tab w:val="left" w:pos="851"/>
        </w:tabs>
        <w:ind w:left="851" w:right="180" w:hanging="284"/>
        <w:jc w:val="both"/>
        <w:rPr>
          <w:lang w:val="be-BY"/>
        </w:rPr>
      </w:pPr>
      <w:r w:rsidRPr="007D0D17">
        <w:rPr>
          <w:lang w:val="be-BY"/>
        </w:rPr>
        <w:t>Договорни отношения с постоянните клиенти;</w:t>
      </w:r>
    </w:p>
    <w:p w14:paraId="620C03B0" w14:textId="77777777" w:rsidR="002846B0" w:rsidRPr="002340D5" w:rsidRDefault="00566C38" w:rsidP="002228B1">
      <w:pPr>
        <w:numPr>
          <w:ilvl w:val="0"/>
          <w:numId w:val="14"/>
        </w:numPr>
        <w:tabs>
          <w:tab w:val="num" w:pos="540"/>
          <w:tab w:val="left" w:pos="851"/>
        </w:tabs>
        <w:ind w:left="851" w:right="180" w:hanging="284"/>
        <w:jc w:val="both"/>
        <w:rPr>
          <w:lang w:val="be-BY"/>
        </w:rPr>
      </w:pPr>
      <w:r w:rsidRPr="007D0D17">
        <w:rPr>
          <w:lang w:val="be-BY"/>
        </w:rPr>
        <w:t xml:space="preserve">Сключване на </w:t>
      </w:r>
      <w:r w:rsidR="002846B0">
        <w:rPr>
          <w:lang w:val="be-BY"/>
        </w:rPr>
        <w:t>договори за сделки</w:t>
      </w:r>
      <w:r w:rsidRPr="007D0D17">
        <w:rPr>
          <w:lang w:val="be-BY"/>
        </w:rPr>
        <w:t xml:space="preserve"> от съществено значен</w:t>
      </w:r>
      <w:r w:rsidR="000215EC">
        <w:rPr>
          <w:lang w:val="be-BY"/>
        </w:rPr>
        <w:t>ие за дейността на дружеството</w:t>
      </w:r>
    </w:p>
    <w:p w14:paraId="01F6750C" w14:textId="77777777" w:rsidR="002846B0" w:rsidRPr="002846B0" w:rsidRDefault="002846B0" w:rsidP="002846B0"/>
    <w:p w14:paraId="66F4F55E" w14:textId="77777777" w:rsidR="00566C38" w:rsidRPr="006A12C5" w:rsidRDefault="00566C38" w:rsidP="00566C38">
      <w:pPr>
        <w:pStyle w:val="Heading4"/>
        <w:ind w:left="180" w:right="180"/>
        <w:jc w:val="both"/>
        <w:rPr>
          <w:rFonts w:ascii="Calibri" w:hAnsi="Calibri"/>
          <w:sz w:val="22"/>
        </w:rPr>
      </w:pPr>
      <w:r w:rsidRPr="006A12C5">
        <w:rPr>
          <w:rFonts w:ascii="Calibri" w:hAnsi="Calibri"/>
          <w:sz w:val="22"/>
        </w:rPr>
        <w:t>Кадрова политикa</w:t>
      </w:r>
      <w:r>
        <w:rPr>
          <w:rFonts w:ascii="Calibri" w:hAnsi="Calibri"/>
          <w:sz w:val="22"/>
        </w:rPr>
        <w:t>:</w:t>
      </w:r>
    </w:p>
    <w:p w14:paraId="5E761734" w14:textId="77777777" w:rsidR="00566C38" w:rsidRPr="007D0D17" w:rsidRDefault="00566C38" w:rsidP="002228B1">
      <w:pPr>
        <w:numPr>
          <w:ilvl w:val="0"/>
          <w:numId w:val="14"/>
        </w:numPr>
        <w:tabs>
          <w:tab w:val="left" w:pos="851"/>
        </w:tabs>
        <w:ind w:left="851" w:right="180" w:hanging="284"/>
        <w:jc w:val="both"/>
        <w:rPr>
          <w:lang w:val="be-BY"/>
        </w:rPr>
      </w:pPr>
      <w:r w:rsidRPr="007D0D17">
        <w:rPr>
          <w:lang w:val="be-BY"/>
        </w:rPr>
        <w:t>Поддържане на оптимална структура на персонала в зависимост от дейността на дружеството;</w:t>
      </w:r>
    </w:p>
    <w:p w14:paraId="736500A0" w14:textId="77777777" w:rsidR="00566C38" w:rsidRPr="007D0D17" w:rsidRDefault="00566C38" w:rsidP="002228B1">
      <w:pPr>
        <w:numPr>
          <w:ilvl w:val="0"/>
          <w:numId w:val="14"/>
        </w:numPr>
        <w:tabs>
          <w:tab w:val="left" w:pos="851"/>
        </w:tabs>
        <w:ind w:left="851" w:right="180" w:hanging="284"/>
        <w:jc w:val="both"/>
        <w:rPr>
          <w:lang w:val="be-BY"/>
        </w:rPr>
      </w:pPr>
      <w:r w:rsidRPr="007D0D17">
        <w:rPr>
          <w:lang w:val="be-BY"/>
        </w:rPr>
        <w:t>Развитие на персонала (увеличаване / намаляване);</w:t>
      </w:r>
    </w:p>
    <w:p w14:paraId="04D5F90F" w14:textId="77777777" w:rsidR="00566C38" w:rsidRPr="007D0D17" w:rsidRDefault="00566C38" w:rsidP="002228B1">
      <w:pPr>
        <w:numPr>
          <w:ilvl w:val="0"/>
          <w:numId w:val="14"/>
        </w:numPr>
        <w:tabs>
          <w:tab w:val="left" w:pos="851"/>
        </w:tabs>
        <w:ind w:left="851" w:right="180" w:hanging="284"/>
        <w:jc w:val="both"/>
        <w:rPr>
          <w:lang w:val="be-BY"/>
        </w:rPr>
      </w:pPr>
      <w:r w:rsidRPr="007D0D17">
        <w:rPr>
          <w:lang w:val="be-BY"/>
        </w:rPr>
        <w:t>Принцип на съвместяване на длъжности;</w:t>
      </w:r>
    </w:p>
    <w:p w14:paraId="1FC05C8A" w14:textId="77777777" w:rsidR="00566C38" w:rsidRPr="007D0D17" w:rsidRDefault="00566C38" w:rsidP="002228B1">
      <w:pPr>
        <w:numPr>
          <w:ilvl w:val="0"/>
          <w:numId w:val="14"/>
        </w:numPr>
        <w:tabs>
          <w:tab w:val="left" w:pos="851"/>
        </w:tabs>
        <w:ind w:left="851" w:right="180" w:hanging="284"/>
        <w:jc w:val="both"/>
        <w:rPr>
          <w:lang w:val="be-BY"/>
        </w:rPr>
      </w:pPr>
      <w:r w:rsidRPr="007D0D17">
        <w:rPr>
          <w:lang w:val="be-BY"/>
        </w:rPr>
        <w:t>Квалификация и преквалификация на персонала;</w:t>
      </w:r>
    </w:p>
    <w:p w14:paraId="31AAD46E" w14:textId="77777777" w:rsidR="00566C38" w:rsidRPr="007D0D17" w:rsidRDefault="00566C38" w:rsidP="002228B1">
      <w:pPr>
        <w:numPr>
          <w:ilvl w:val="0"/>
          <w:numId w:val="14"/>
        </w:numPr>
        <w:tabs>
          <w:tab w:val="left" w:pos="851"/>
        </w:tabs>
        <w:ind w:left="851" w:right="180" w:hanging="284"/>
        <w:jc w:val="both"/>
        <w:rPr>
          <w:lang w:val="be-BY"/>
        </w:rPr>
      </w:pPr>
      <w:r w:rsidRPr="007D0D17">
        <w:rPr>
          <w:lang w:val="be-BY"/>
        </w:rPr>
        <w:t>Ротиране на длъжности;</w:t>
      </w:r>
    </w:p>
    <w:p w14:paraId="01A43F94" w14:textId="77777777" w:rsidR="00566C38" w:rsidRPr="006623F6" w:rsidRDefault="00566C38" w:rsidP="00566C38">
      <w:pPr>
        <w:ind w:right="180"/>
        <w:jc w:val="both"/>
      </w:pPr>
    </w:p>
    <w:p w14:paraId="1527CC69" w14:textId="77777777" w:rsidR="00566C38" w:rsidRPr="006A12C5" w:rsidRDefault="00566C38" w:rsidP="00566C38">
      <w:pPr>
        <w:pStyle w:val="Heading4"/>
        <w:ind w:left="180" w:right="180"/>
        <w:jc w:val="both"/>
        <w:rPr>
          <w:rFonts w:ascii="Calibri" w:hAnsi="Calibri"/>
          <w:sz w:val="22"/>
        </w:rPr>
      </w:pPr>
      <w:r w:rsidRPr="006A12C5">
        <w:rPr>
          <w:rFonts w:ascii="Calibri" w:hAnsi="Calibri"/>
          <w:sz w:val="22"/>
        </w:rPr>
        <w:t>Социална политика</w:t>
      </w:r>
      <w:r>
        <w:rPr>
          <w:rFonts w:ascii="Calibri" w:hAnsi="Calibri"/>
          <w:sz w:val="22"/>
        </w:rPr>
        <w:t>:</w:t>
      </w:r>
    </w:p>
    <w:p w14:paraId="32D9A21A" w14:textId="77777777" w:rsidR="00566C38" w:rsidRPr="007D0D17" w:rsidRDefault="00566C38" w:rsidP="002228B1">
      <w:pPr>
        <w:numPr>
          <w:ilvl w:val="0"/>
          <w:numId w:val="14"/>
        </w:numPr>
        <w:tabs>
          <w:tab w:val="left" w:pos="851"/>
        </w:tabs>
        <w:ind w:left="851" w:right="180" w:hanging="284"/>
        <w:jc w:val="both"/>
        <w:rPr>
          <w:lang w:val="be-BY"/>
        </w:rPr>
      </w:pPr>
      <w:r w:rsidRPr="007D0D17">
        <w:rPr>
          <w:lang w:val="be-BY"/>
        </w:rPr>
        <w:t>Насърчаване на социалния статус на работещите в дружеството;</w:t>
      </w:r>
    </w:p>
    <w:p w14:paraId="622C8923" w14:textId="77777777" w:rsidR="00566C38" w:rsidRPr="007D0D17" w:rsidRDefault="00566C38" w:rsidP="002228B1">
      <w:pPr>
        <w:numPr>
          <w:ilvl w:val="0"/>
          <w:numId w:val="14"/>
        </w:numPr>
        <w:tabs>
          <w:tab w:val="left" w:pos="851"/>
        </w:tabs>
        <w:ind w:left="851" w:right="180" w:hanging="284"/>
        <w:jc w:val="both"/>
        <w:rPr>
          <w:lang w:val="be-BY"/>
        </w:rPr>
      </w:pPr>
      <w:r w:rsidRPr="007D0D17">
        <w:rPr>
          <w:lang w:val="be-BY"/>
        </w:rPr>
        <w:t>Подобряване условията на труд;</w:t>
      </w:r>
    </w:p>
    <w:p w14:paraId="6195E30F" w14:textId="77777777" w:rsidR="00566C38" w:rsidRPr="007D0D17" w:rsidRDefault="00566C38" w:rsidP="002228B1">
      <w:pPr>
        <w:numPr>
          <w:ilvl w:val="0"/>
          <w:numId w:val="14"/>
        </w:numPr>
        <w:tabs>
          <w:tab w:val="left" w:pos="851"/>
        </w:tabs>
        <w:ind w:left="851" w:right="180" w:hanging="284"/>
        <w:jc w:val="both"/>
        <w:rPr>
          <w:lang w:val="be-BY"/>
        </w:rPr>
      </w:pPr>
      <w:r w:rsidRPr="007D0D17">
        <w:rPr>
          <w:lang w:val="be-BY"/>
        </w:rPr>
        <w:t>Стимулираща система за персонал</w:t>
      </w:r>
      <w:r w:rsidR="000215EC">
        <w:rPr>
          <w:lang w:val="be-BY"/>
        </w:rPr>
        <w:t>а</w:t>
      </w:r>
      <w:r w:rsidRPr="007D0D17">
        <w:rPr>
          <w:lang w:val="be-BY"/>
        </w:rPr>
        <w:t>;</w:t>
      </w:r>
    </w:p>
    <w:p w14:paraId="4E34A8CA" w14:textId="77777777" w:rsidR="00566C38" w:rsidRPr="007D0D17" w:rsidRDefault="00566C38" w:rsidP="002228B1">
      <w:pPr>
        <w:numPr>
          <w:ilvl w:val="0"/>
          <w:numId w:val="14"/>
        </w:numPr>
        <w:tabs>
          <w:tab w:val="left" w:pos="851"/>
        </w:tabs>
        <w:ind w:left="851" w:right="180" w:hanging="284"/>
        <w:jc w:val="both"/>
        <w:rPr>
          <w:lang w:val="be-BY"/>
        </w:rPr>
      </w:pPr>
      <w:r w:rsidRPr="007D0D17">
        <w:rPr>
          <w:lang w:val="be-BY"/>
        </w:rPr>
        <w:t>Социални придобивки за служителите;</w:t>
      </w:r>
    </w:p>
    <w:p w14:paraId="553C2E44" w14:textId="77777777" w:rsidR="00566C38" w:rsidRPr="006623F6" w:rsidRDefault="00566C38" w:rsidP="00566C38">
      <w:pPr>
        <w:ind w:right="180"/>
        <w:jc w:val="both"/>
      </w:pPr>
    </w:p>
    <w:p w14:paraId="00C7BB3A" w14:textId="77777777" w:rsidR="00566C38" w:rsidRPr="006A12C5" w:rsidRDefault="00566C38" w:rsidP="00566C38">
      <w:pPr>
        <w:pStyle w:val="Heading4"/>
        <w:ind w:left="180" w:right="180"/>
        <w:jc w:val="both"/>
        <w:rPr>
          <w:rFonts w:ascii="Calibri" w:hAnsi="Calibri"/>
          <w:sz w:val="22"/>
        </w:rPr>
      </w:pPr>
      <w:r w:rsidRPr="006A12C5">
        <w:rPr>
          <w:rFonts w:ascii="Calibri" w:hAnsi="Calibri"/>
          <w:sz w:val="22"/>
        </w:rPr>
        <w:lastRenderedPageBreak/>
        <w:t>Фирмена култура</w:t>
      </w:r>
      <w:r>
        <w:rPr>
          <w:rFonts w:ascii="Calibri" w:hAnsi="Calibri"/>
          <w:sz w:val="22"/>
        </w:rPr>
        <w:t>:</w:t>
      </w:r>
    </w:p>
    <w:p w14:paraId="09664F5B" w14:textId="77777777" w:rsidR="00566C38" w:rsidRPr="007D0D17" w:rsidRDefault="00566C38" w:rsidP="002228B1">
      <w:pPr>
        <w:numPr>
          <w:ilvl w:val="0"/>
          <w:numId w:val="14"/>
        </w:numPr>
        <w:tabs>
          <w:tab w:val="left" w:pos="851"/>
        </w:tabs>
        <w:ind w:left="851" w:right="180" w:hanging="284"/>
        <w:jc w:val="both"/>
        <w:rPr>
          <w:lang w:val="be-BY"/>
        </w:rPr>
      </w:pPr>
      <w:r w:rsidRPr="007D0D17">
        <w:rPr>
          <w:lang w:val="be-BY"/>
        </w:rPr>
        <w:t>Лоялност към продукта, клиента и фирмата;</w:t>
      </w:r>
    </w:p>
    <w:p w14:paraId="34FEFAC7" w14:textId="77777777" w:rsidR="00566C38" w:rsidRPr="007D0D17" w:rsidRDefault="00566C38" w:rsidP="002228B1">
      <w:pPr>
        <w:numPr>
          <w:ilvl w:val="0"/>
          <w:numId w:val="14"/>
        </w:numPr>
        <w:tabs>
          <w:tab w:val="left" w:pos="851"/>
        </w:tabs>
        <w:ind w:left="851" w:right="180" w:hanging="284"/>
        <w:jc w:val="both"/>
        <w:rPr>
          <w:lang w:val="be-BY"/>
        </w:rPr>
      </w:pPr>
      <w:r w:rsidRPr="007D0D17">
        <w:rPr>
          <w:lang w:val="be-BY"/>
        </w:rPr>
        <w:t>Тийм билдинг програми;</w:t>
      </w:r>
    </w:p>
    <w:p w14:paraId="34E7636C" w14:textId="77777777" w:rsidR="00566C38" w:rsidRPr="007D0D17" w:rsidRDefault="00566C38" w:rsidP="002228B1">
      <w:pPr>
        <w:numPr>
          <w:ilvl w:val="0"/>
          <w:numId w:val="14"/>
        </w:numPr>
        <w:tabs>
          <w:tab w:val="left" w:pos="851"/>
        </w:tabs>
        <w:ind w:left="851" w:right="180" w:hanging="284"/>
        <w:jc w:val="both"/>
        <w:rPr>
          <w:lang w:val="be-BY"/>
        </w:rPr>
      </w:pPr>
      <w:r w:rsidRPr="007D0D17">
        <w:rPr>
          <w:lang w:val="be-BY"/>
        </w:rPr>
        <w:t>Фирмени ценности и традиции;</w:t>
      </w:r>
    </w:p>
    <w:p w14:paraId="2BDDEE21" w14:textId="77777777" w:rsidR="00566C38" w:rsidRPr="006623F6" w:rsidRDefault="00566C38" w:rsidP="00566C38">
      <w:pPr>
        <w:ind w:left="180" w:right="180"/>
        <w:jc w:val="both"/>
      </w:pPr>
    </w:p>
    <w:p w14:paraId="7C05398B" w14:textId="77777777" w:rsidR="00566C38" w:rsidRPr="006A12C5" w:rsidRDefault="00566C38" w:rsidP="00566C38">
      <w:pPr>
        <w:pStyle w:val="Heading4"/>
        <w:ind w:left="180" w:right="180"/>
        <w:jc w:val="both"/>
        <w:rPr>
          <w:rFonts w:ascii="Calibri" w:hAnsi="Calibri"/>
          <w:sz w:val="22"/>
        </w:rPr>
      </w:pPr>
      <w:r w:rsidRPr="006A12C5">
        <w:rPr>
          <w:rFonts w:ascii="Calibri" w:hAnsi="Calibri"/>
          <w:sz w:val="22"/>
        </w:rPr>
        <w:t>Екологична политика</w:t>
      </w:r>
      <w:r>
        <w:rPr>
          <w:rFonts w:ascii="Calibri" w:hAnsi="Calibri"/>
          <w:sz w:val="22"/>
        </w:rPr>
        <w:t>:</w:t>
      </w:r>
    </w:p>
    <w:p w14:paraId="6F7D91FA" w14:textId="77777777" w:rsidR="00566C38" w:rsidRPr="007D0D17" w:rsidRDefault="00566C38" w:rsidP="002228B1">
      <w:pPr>
        <w:numPr>
          <w:ilvl w:val="0"/>
          <w:numId w:val="14"/>
        </w:numPr>
        <w:tabs>
          <w:tab w:val="left" w:pos="851"/>
        </w:tabs>
        <w:ind w:left="851" w:right="180" w:hanging="284"/>
        <w:jc w:val="both"/>
        <w:rPr>
          <w:lang w:val="be-BY"/>
        </w:rPr>
      </w:pPr>
      <w:r w:rsidRPr="007D0D17">
        <w:rPr>
          <w:lang w:val="be-BY"/>
        </w:rPr>
        <w:t>Прилагане на мерки за техническо подобрение, осигуряващо съответствие с екологичното законодателство;</w:t>
      </w:r>
    </w:p>
    <w:p w14:paraId="3F560B72" w14:textId="77777777" w:rsidR="00566C38" w:rsidRPr="007D0D17" w:rsidRDefault="00566C38" w:rsidP="002228B1">
      <w:pPr>
        <w:numPr>
          <w:ilvl w:val="0"/>
          <w:numId w:val="14"/>
        </w:numPr>
        <w:tabs>
          <w:tab w:val="left" w:pos="851"/>
        </w:tabs>
        <w:ind w:left="851" w:right="180" w:hanging="284"/>
        <w:jc w:val="both"/>
        <w:rPr>
          <w:lang w:val="be-BY"/>
        </w:rPr>
      </w:pPr>
      <w:r w:rsidRPr="007D0D17">
        <w:rPr>
          <w:lang w:val="be-BY"/>
        </w:rPr>
        <w:t>Предотвратяване и намаляване на риска за човешкото здраве чрез създаване на безопасни условия на труд;</w:t>
      </w:r>
    </w:p>
    <w:p w14:paraId="6301F658" w14:textId="77777777" w:rsidR="00566C38" w:rsidRPr="007D0D17" w:rsidRDefault="00566C38" w:rsidP="00566C38">
      <w:pPr>
        <w:tabs>
          <w:tab w:val="left" w:pos="851"/>
        </w:tabs>
        <w:ind w:left="207" w:right="180"/>
        <w:jc w:val="both"/>
        <w:rPr>
          <w:lang w:val="be-BY"/>
        </w:rPr>
      </w:pPr>
    </w:p>
    <w:p w14:paraId="5D547751" w14:textId="77777777" w:rsidR="00566C38" w:rsidRPr="006A12C5" w:rsidRDefault="00566C38" w:rsidP="00566C38">
      <w:pPr>
        <w:pStyle w:val="Heading4"/>
        <w:ind w:left="180" w:right="180"/>
        <w:jc w:val="both"/>
        <w:rPr>
          <w:rFonts w:ascii="Calibri" w:hAnsi="Calibri"/>
          <w:sz w:val="22"/>
        </w:rPr>
      </w:pPr>
      <w:r w:rsidRPr="006A12C5">
        <w:rPr>
          <w:rFonts w:ascii="Calibri" w:hAnsi="Calibri"/>
          <w:sz w:val="22"/>
        </w:rPr>
        <w:t>Инвестиционна политика</w:t>
      </w:r>
      <w:r>
        <w:rPr>
          <w:rFonts w:ascii="Calibri" w:hAnsi="Calibri"/>
          <w:sz w:val="22"/>
        </w:rPr>
        <w:t>:</w:t>
      </w:r>
    </w:p>
    <w:p w14:paraId="0C72471B" w14:textId="77777777" w:rsidR="00566C38" w:rsidRPr="007D0D17" w:rsidRDefault="00566C38" w:rsidP="002228B1">
      <w:pPr>
        <w:numPr>
          <w:ilvl w:val="0"/>
          <w:numId w:val="14"/>
        </w:numPr>
        <w:tabs>
          <w:tab w:val="left" w:pos="851"/>
        </w:tabs>
        <w:ind w:left="851" w:right="180" w:hanging="284"/>
        <w:jc w:val="both"/>
        <w:rPr>
          <w:lang w:val="be-BY"/>
        </w:rPr>
      </w:pPr>
      <w:r w:rsidRPr="007D0D17">
        <w:rPr>
          <w:lang w:val="be-BY"/>
        </w:rPr>
        <w:t>Стратегически хоризонт на инвестициите;</w:t>
      </w:r>
    </w:p>
    <w:p w14:paraId="171E80C5" w14:textId="77777777" w:rsidR="00566C38" w:rsidRPr="007D0D17" w:rsidRDefault="00566C38" w:rsidP="002228B1">
      <w:pPr>
        <w:numPr>
          <w:ilvl w:val="0"/>
          <w:numId w:val="14"/>
        </w:numPr>
        <w:tabs>
          <w:tab w:val="left" w:pos="851"/>
        </w:tabs>
        <w:ind w:left="851" w:right="180" w:hanging="284"/>
        <w:jc w:val="both"/>
        <w:rPr>
          <w:lang w:val="be-BY"/>
        </w:rPr>
      </w:pPr>
      <w:r w:rsidRPr="007D0D17">
        <w:rPr>
          <w:lang w:val="be-BY"/>
        </w:rPr>
        <w:t>Модернизиране и степен на обновяване на материалната базата;</w:t>
      </w:r>
    </w:p>
    <w:p w14:paraId="083ED49F" w14:textId="77777777" w:rsidR="00566C38" w:rsidRPr="007D0D17" w:rsidRDefault="00566C38" w:rsidP="002228B1">
      <w:pPr>
        <w:numPr>
          <w:ilvl w:val="0"/>
          <w:numId w:val="14"/>
        </w:numPr>
        <w:tabs>
          <w:tab w:val="left" w:pos="851"/>
        </w:tabs>
        <w:ind w:left="851" w:right="180" w:hanging="284"/>
        <w:jc w:val="both"/>
        <w:rPr>
          <w:lang w:val="be-BY"/>
        </w:rPr>
      </w:pPr>
      <w:r w:rsidRPr="007D0D17">
        <w:rPr>
          <w:lang w:val="be-BY"/>
        </w:rPr>
        <w:t>Целесъобразност и приоритет на ключови инвестиционни мероприятия</w:t>
      </w:r>
      <w:r w:rsidR="000215EC">
        <w:rPr>
          <w:lang w:val="be-BY"/>
        </w:rPr>
        <w:t>.</w:t>
      </w:r>
    </w:p>
    <w:p w14:paraId="6D6F7D13" w14:textId="77777777" w:rsidR="00566C38" w:rsidRPr="006623F6" w:rsidRDefault="00566C38" w:rsidP="00566C38">
      <w:pPr>
        <w:ind w:right="180"/>
        <w:jc w:val="both"/>
      </w:pPr>
    </w:p>
    <w:p w14:paraId="45BBBB82" w14:textId="58F7B292" w:rsidR="002846B0" w:rsidRPr="00F51E2A" w:rsidRDefault="00566C38" w:rsidP="002846B0">
      <w:pPr>
        <w:pStyle w:val="BodyText"/>
        <w:ind w:left="180" w:right="180"/>
        <w:jc w:val="both"/>
        <w:rPr>
          <w:rFonts w:ascii="Calibri" w:hAnsi="Calibri"/>
          <w:b/>
          <w:color w:val="76923C"/>
          <w:sz w:val="22"/>
        </w:rPr>
      </w:pPr>
      <w:r w:rsidRPr="002228B1">
        <w:rPr>
          <w:rFonts w:ascii="Calibri" w:hAnsi="Calibri"/>
          <w:b/>
          <w:color w:val="E36C0A"/>
          <w:sz w:val="22"/>
        </w:rPr>
        <w:t>Планиране на фирмените политики:</w:t>
      </w:r>
    </w:p>
    <w:tbl>
      <w:tblPr>
        <w:tblW w:w="9180" w:type="dxa"/>
        <w:jc w:val="center"/>
        <w:tblBorders>
          <w:top w:val="double" w:sz="6" w:space="0" w:color="E36C0A"/>
          <w:left w:val="double" w:sz="6" w:space="0" w:color="E36C0A"/>
          <w:bottom w:val="double" w:sz="6" w:space="0" w:color="E36C0A"/>
          <w:right w:val="double" w:sz="6" w:space="0" w:color="E36C0A"/>
          <w:insideH w:val="double" w:sz="6" w:space="0" w:color="E36C0A"/>
          <w:insideV w:val="double" w:sz="6" w:space="0" w:color="E36C0A"/>
        </w:tblBorders>
        <w:tblCellMar>
          <w:left w:w="70" w:type="dxa"/>
          <w:right w:w="70" w:type="dxa"/>
        </w:tblCellMar>
        <w:tblLook w:val="04A0" w:firstRow="1" w:lastRow="0" w:firstColumn="1" w:lastColumn="0" w:noHBand="0" w:noVBand="1"/>
      </w:tblPr>
      <w:tblGrid>
        <w:gridCol w:w="3731"/>
        <w:gridCol w:w="1202"/>
        <w:gridCol w:w="1134"/>
        <w:gridCol w:w="1529"/>
        <w:gridCol w:w="1584"/>
      </w:tblGrid>
      <w:tr w:rsidR="00566C38" w:rsidRPr="00DA2C3D" w14:paraId="2860E627" w14:textId="77777777" w:rsidTr="002228B1">
        <w:trPr>
          <w:trHeight w:val="300"/>
          <w:jc w:val="center"/>
        </w:trPr>
        <w:tc>
          <w:tcPr>
            <w:tcW w:w="3731" w:type="dxa"/>
            <w:shd w:val="clear" w:color="auto" w:fill="E36C0A"/>
            <w:noWrap/>
            <w:vAlign w:val="bottom"/>
          </w:tcPr>
          <w:p w14:paraId="4E154557" w14:textId="77777777" w:rsidR="00566C38" w:rsidRPr="00F51E2A" w:rsidRDefault="00566C38" w:rsidP="00F51E2A">
            <w:pPr>
              <w:jc w:val="center"/>
              <w:rPr>
                <w:b/>
                <w:bCs/>
                <w:color w:val="FFFFFF"/>
                <w:sz w:val="20"/>
                <w:szCs w:val="20"/>
                <w:lang w:eastAsia="bg-BG"/>
              </w:rPr>
            </w:pPr>
            <w:r w:rsidRPr="00F51E2A">
              <w:rPr>
                <w:b/>
                <w:bCs/>
                <w:color w:val="FFFFFF"/>
                <w:sz w:val="20"/>
                <w:szCs w:val="20"/>
                <w:lang w:eastAsia="bg-BG"/>
              </w:rPr>
              <w:t>Фирмени политики</w:t>
            </w:r>
          </w:p>
        </w:tc>
        <w:tc>
          <w:tcPr>
            <w:tcW w:w="1202" w:type="dxa"/>
            <w:shd w:val="clear" w:color="auto" w:fill="E36C0A"/>
            <w:noWrap/>
            <w:vAlign w:val="bottom"/>
          </w:tcPr>
          <w:p w14:paraId="2111EFA7" w14:textId="77777777" w:rsidR="00566C38" w:rsidRPr="00F51E2A" w:rsidRDefault="00566C38" w:rsidP="00F51E2A">
            <w:pPr>
              <w:jc w:val="center"/>
              <w:rPr>
                <w:b/>
                <w:bCs/>
                <w:color w:val="FFFFFF"/>
                <w:sz w:val="20"/>
                <w:szCs w:val="20"/>
                <w:lang w:eastAsia="bg-BG"/>
              </w:rPr>
            </w:pPr>
            <w:r w:rsidRPr="00F51E2A">
              <w:rPr>
                <w:b/>
                <w:bCs/>
                <w:color w:val="FFFFFF"/>
                <w:sz w:val="20"/>
                <w:szCs w:val="20"/>
                <w:lang w:eastAsia="bg-BG"/>
              </w:rPr>
              <w:t>От (дата)</w:t>
            </w:r>
          </w:p>
        </w:tc>
        <w:tc>
          <w:tcPr>
            <w:tcW w:w="1134" w:type="dxa"/>
            <w:shd w:val="clear" w:color="auto" w:fill="E36C0A"/>
            <w:noWrap/>
            <w:vAlign w:val="bottom"/>
          </w:tcPr>
          <w:p w14:paraId="4823935D" w14:textId="77777777" w:rsidR="00566C38" w:rsidRPr="00F51E2A" w:rsidRDefault="00566C38" w:rsidP="00F51E2A">
            <w:pPr>
              <w:jc w:val="center"/>
              <w:rPr>
                <w:b/>
                <w:bCs/>
                <w:color w:val="FFFFFF"/>
                <w:sz w:val="20"/>
                <w:szCs w:val="20"/>
                <w:lang w:eastAsia="bg-BG"/>
              </w:rPr>
            </w:pPr>
            <w:r w:rsidRPr="00F51E2A">
              <w:rPr>
                <w:b/>
                <w:bCs/>
                <w:color w:val="FFFFFF"/>
                <w:sz w:val="20"/>
                <w:szCs w:val="20"/>
                <w:lang w:eastAsia="bg-BG"/>
              </w:rPr>
              <w:t>До (дата)</w:t>
            </w:r>
          </w:p>
        </w:tc>
        <w:tc>
          <w:tcPr>
            <w:tcW w:w="1529" w:type="dxa"/>
            <w:shd w:val="clear" w:color="auto" w:fill="E36C0A"/>
            <w:noWrap/>
            <w:vAlign w:val="bottom"/>
          </w:tcPr>
          <w:p w14:paraId="17D92B62" w14:textId="77777777" w:rsidR="00566C38" w:rsidRPr="00F51E2A" w:rsidRDefault="00566C38" w:rsidP="00F51E2A">
            <w:pPr>
              <w:jc w:val="center"/>
              <w:rPr>
                <w:b/>
                <w:bCs/>
                <w:color w:val="FFFFFF"/>
                <w:sz w:val="20"/>
                <w:szCs w:val="20"/>
                <w:lang w:eastAsia="bg-BG"/>
              </w:rPr>
            </w:pPr>
            <w:r w:rsidRPr="00F51E2A">
              <w:rPr>
                <w:b/>
                <w:bCs/>
                <w:color w:val="FFFFFF"/>
                <w:sz w:val="20"/>
                <w:szCs w:val="20"/>
                <w:lang w:eastAsia="bg-BG"/>
              </w:rPr>
              <w:t>Ръководител</w:t>
            </w:r>
          </w:p>
        </w:tc>
        <w:tc>
          <w:tcPr>
            <w:tcW w:w="1584" w:type="dxa"/>
            <w:shd w:val="clear" w:color="auto" w:fill="E36C0A"/>
            <w:noWrap/>
            <w:vAlign w:val="bottom"/>
          </w:tcPr>
          <w:p w14:paraId="016204DB" w14:textId="77777777" w:rsidR="00566C38" w:rsidRPr="00F51E2A" w:rsidRDefault="00566C38" w:rsidP="00F51E2A">
            <w:pPr>
              <w:jc w:val="center"/>
              <w:rPr>
                <w:b/>
                <w:bCs/>
                <w:color w:val="FFFFFF"/>
                <w:sz w:val="20"/>
                <w:szCs w:val="20"/>
                <w:lang w:eastAsia="bg-BG"/>
              </w:rPr>
            </w:pPr>
            <w:r w:rsidRPr="00F51E2A">
              <w:rPr>
                <w:b/>
                <w:bCs/>
                <w:color w:val="FFFFFF"/>
                <w:sz w:val="20"/>
                <w:szCs w:val="20"/>
                <w:lang w:eastAsia="bg-BG"/>
              </w:rPr>
              <w:t>Отдел</w:t>
            </w:r>
          </w:p>
        </w:tc>
      </w:tr>
      <w:tr w:rsidR="00566C38" w:rsidRPr="00793061" w14:paraId="46551647" w14:textId="77777777" w:rsidTr="002228B1">
        <w:trPr>
          <w:trHeight w:val="300"/>
          <w:jc w:val="center"/>
        </w:trPr>
        <w:tc>
          <w:tcPr>
            <w:tcW w:w="3731" w:type="dxa"/>
            <w:shd w:val="clear" w:color="auto" w:fill="auto"/>
            <w:noWrap/>
            <w:vAlign w:val="bottom"/>
          </w:tcPr>
          <w:p w14:paraId="286A4089" w14:textId="77777777" w:rsidR="00566C38" w:rsidRPr="0010330A" w:rsidRDefault="00566C38" w:rsidP="00F51E2A">
            <w:pPr>
              <w:rPr>
                <w:color w:val="000000"/>
                <w:sz w:val="20"/>
                <w:szCs w:val="20"/>
                <w:lang w:eastAsia="bg-BG"/>
              </w:rPr>
            </w:pPr>
            <w:r w:rsidRPr="0010330A">
              <w:rPr>
                <w:color w:val="000000"/>
                <w:sz w:val="20"/>
                <w:szCs w:val="20"/>
                <w:lang w:eastAsia="bg-BG"/>
              </w:rPr>
              <w:t xml:space="preserve">Продуктова политика </w:t>
            </w:r>
          </w:p>
        </w:tc>
        <w:tc>
          <w:tcPr>
            <w:tcW w:w="1202" w:type="dxa"/>
            <w:shd w:val="clear" w:color="auto" w:fill="auto"/>
            <w:noWrap/>
            <w:vAlign w:val="bottom"/>
          </w:tcPr>
          <w:p w14:paraId="0F3A88FF" w14:textId="69A08DF1" w:rsidR="00566C38" w:rsidRPr="00793061" w:rsidRDefault="00566C38" w:rsidP="00257908">
            <w:pPr>
              <w:rPr>
                <w:color w:val="000000"/>
                <w:sz w:val="20"/>
                <w:szCs w:val="20"/>
                <w:lang w:eastAsia="bg-BG"/>
              </w:rPr>
            </w:pPr>
            <w:r w:rsidRPr="00793061">
              <w:rPr>
                <w:color w:val="000000"/>
                <w:sz w:val="20"/>
                <w:szCs w:val="20"/>
                <w:lang w:eastAsia="bg-BG"/>
              </w:rPr>
              <w:t> </w:t>
            </w:r>
            <w:r w:rsidR="000215EC">
              <w:rPr>
                <w:color w:val="000000"/>
                <w:sz w:val="20"/>
                <w:szCs w:val="20"/>
                <w:lang w:eastAsia="bg-BG"/>
              </w:rPr>
              <w:t>01.01.</w:t>
            </w:r>
            <w:r w:rsidR="00487716">
              <w:rPr>
                <w:color w:val="000000"/>
                <w:sz w:val="20"/>
                <w:szCs w:val="20"/>
                <w:lang w:eastAsia="bg-BG"/>
              </w:rPr>
              <w:t>2021</w:t>
            </w:r>
          </w:p>
        </w:tc>
        <w:tc>
          <w:tcPr>
            <w:tcW w:w="1134" w:type="dxa"/>
            <w:shd w:val="clear" w:color="auto" w:fill="auto"/>
            <w:noWrap/>
            <w:vAlign w:val="bottom"/>
          </w:tcPr>
          <w:p w14:paraId="53A669D4" w14:textId="77777777" w:rsidR="00566C38" w:rsidRPr="00793061" w:rsidRDefault="00566C38" w:rsidP="00257908">
            <w:pPr>
              <w:rPr>
                <w:color w:val="000000"/>
                <w:sz w:val="20"/>
                <w:szCs w:val="20"/>
                <w:lang w:eastAsia="bg-BG"/>
              </w:rPr>
            </w:pPr>
            <w:r w:rsidRPr="00793061">
              <w:rPr>
                <w:color w:val="000000"/>
                <w:sz w:val="20"/>
                <w:szCs w:val="20"/>
                <w:lang w:eastAsia="bg-BG"/>
              </w:rPr>
              <w:t> </w:t>
            </w:r>
            <w:r w:rsidR="00D663EA">
              <w:rPr>
                <w:color w:val="000000"/>
                <w:sz w:val="20"/>
                <w:szCs w:val="20"/>
                <w:lang w:eastAsia="bg-BG"/>
              </w:rPr>
              <w:t>31.12.202</w:t>
            </w:r>
            <w:r w:rsidR="00257908">
              <w:rPr>
                <w:color w:val="000000"/>
                <w:sz w:val="20"/>
                <w:szCs w:val="20"/>
                <w:lang w:eastAsia="bg-BG"/>
              </w:rPr>
              <w:t>1</w:t>
            </w:r>
          </w:p>
        </w:tc>
        <w:tc>
          <w:tcPr>
            <w:tcW w:w="1529" w:type="dxa"/>
            <w:shd w:val="clear" w:color="auto" w:fill="auto"/>
            <w:noWrap/>
            <w:vAlign w:val="bottom"/>
          </w:tcPr>
          <w:p w14:paraId="3236BB47" w14:textId="77777777" w:rsidR="00566C38" w:rsidRPr="00793061" w:rsidRDefault="00566C38" w:rsidP="00F51E2A">
            <w:pPr>
              <w:rPr>
                <w:color w:val="000000"/>
                <w:sz w:val="20"/>
                <w:szCs w:val="20"/>
                <w:lang w:eastAsia="bg-BG"/>
              </w:rPr>
            </w:pPr>
            <w:r w:rsidRPr="00793061">
              <w:rPr>
                <w:color w:val="000000"/>
                <w:sz w:val="20"/>
                <w:szCs w:val="20"/>
                <w:lang w:eastAsia="bg-BG"/>
              </w:rPr>
              <w:t> </w:t>
            </w:r>
            <w:r w:rsidR="000215EC">
              <w:rPr>
                <w:color w:val="000000"/>
                <w:sz w:val="20"/>
                <w:szCs w:val="20"/>
                <w:lang w:eastAsia="bg-BG"/>
              </w:rPr>
              <w:t>Управител</w:t>
            </w:r>
          </w:p>
        </w:tc>
        <w:tc>
          <w:tcPr>
            <w:tcW w:w="1584" w:type="dxa"/>
            <w:shd w:val="clear" w:color="auto" w:fill="auto"/>
            <w:noWrap/>
            <w:vAlign w:val="bottom"/>
          </w:tcPr>
          <w:p w14:paraId="78BB5913" w14:textId="77777777" w:rsidR="00566C38" w:rsidRPr="00793061" w:rsidRDefault="00566C38" w:rsidP="00F51E2A">
            <w:pPr>
              <w:rPr>
                <w:color w:val="000000"/>
                <w:sz w:val="20"/>
                <w:szCs w:val="20"/>
                <w:lang w:eastAsia="bg-BG"/>
              </w:rPr>
            </w:pPr>
            <w:r w:rsidRPr="00793061">
              <w:rPr>
                <w:color w:val="000000"/>
                <w:sz w:val="20"/>
                <w:szCs w:val="20"/>
                <w:lang w:eastAsia="bg-BG"/>
              </w:rPr>
              <w:t> </w:t>
            </w:r>
            <w:r w:rsidR="000215EC">
              <w:rPr>
                <w:color w:val="000000"/>
                <w:sz w:val="20"/>
                <w:szCs w:val="20"/>
                <w:lang w:eastAsia="bg-BG"/>
              </w:rPr>
              <w:t>Администрация</w:t>
            </w:r>
          </w:p>
        </w:tc>
      </w:tr>
      <w:tr w:rsidR="000215EC" w:rsidRPr="00793061" w14:paraId="1C410AC0" w14:textId="77777777" w:rsidTr="002228B1">
        <w:trPr>
          <w:trHeight w:val="300"/>
          <w:jc w:val="center"/>
        </w:trPr>
        <w:tc>
          <w:tcPr>
            <w:tcW w:w="3731" w:type="dxa"/>
            <w:shd w:val="clear" w:color="auto" w:fill="auto"/>
            <w:noWrap/>
            <w:vAlign w:val="bottom"/>
          </w:tcPr>
          <w:p w14:paraId="49447CAE" w14:textId="77777777" w:rsidR="000215EC" w:rsidRPr="0010330A" w:rsidRDefault="000215EC" w:rsidP="00F51E2A">
            <w:pPr>
              <w:rPr>
                <w:color w:val="000000"/>
                <w:sz w:val="20"/>
                <w:szCs w:val="20"/>
                <w:lang w:eastAsia="bg-BG"/>
              </w:rPr>
            </w:pPr>
            <w:r w:rsidRPr="0010330A">
              <w:rPr>
                <w:color w:val="000000"/>
                <w:sz w:val="20"/>
                <w:szCs w:val="20"/>
                <w:lang w:eastAsia="bg-BG"/>
              </w:rPr>
              <w:t xml:space="preserve">Пласментна политика </w:t>
            </w:r>
          </w:p>
        </w:tc>
        <w:tc>
          <w:tcPr>
            <w:tcW w:w="1202" w:type="dxa"/>
            <w:shd w:val="clear" w:color="auto" w:fill="auto"/>
            <w:noWrap/>
            <w:vAlign w:val="bottom"/>
          </w:tcPr>
          <w:p w14:paraId="637005B6" w14:textId="6E96F161" w:rsidR="000215EC" w:rsidRPr="00793061" w:rsidRDefault="000215EC" w:rsidP="00257908">
            <w:pPr>
              <w:rPr>
                <w:color w:val="000000"/>
                <w:sz w:val="20"/>
                <w:szCs w:val="20"/>
                <w:lang w:eastAsia="bg-BG"/>
              </w:rPr>
            </w:pPr>
            <w:r w:rsidRPr="00793061">
              <w:rPr>
                <w:color w:val="000000"/>
                <w:sz w:val="20"/>
                <w:szCs w:val="20"/>
                <w:lang w:eastAsia="bg-BG"/>
              </w:rPr>
              <w:t> </w:t>
            </w:r>
            <w:r w:rsidR="002F48C5">
              <w:rPr>
                <w:color w:val="000000"/>
                <w:sz w:val="20"/>
                <w:szCs w:val="20"/>
                <w:lang w:eastAsia="bg-BG"/>
              </w:rPr>
              <w:t>01.01.</w:t>
            </w:r>
            <w:r w:rsidR="00487716">
              <w:rPr>
                <w:color w:val="000000"/>
                <w:sz w:val="20"/>
                <w:szCs w:val="20"/>
                <w:lang w:eastAsia="bg-BG"/>
              </w:rPr>
              <w:t>2021</w:t>
            </w:r>
          </w:p>
        </w:tc>
        <w:tc>
          <w:tcPr>
            <w:tcW w:w="1134" w:type="dxa"/>
            <w:shd w:val="clear" w:color="auto" w:fill="auto"/>
            <w:noWrap/>
            <w:vAlign w:val="bottom"/>
          </w:tcPr>
          <w:p w14:paraId="5B980389" w14:textId="77777777" w:rsidR="000215EC" w:rsidRPr="00793061" w:rsidRDefault="000215EC" w:rsidP="00257908">
            <w:pPr>
              <w:rPr>
                <w:color w:val="000000"/>
                <w:sz w:val="20"/>
                <w:szCs w:val="20"/>
                <w:lang w:eastAsia="bg-BG"/>
              </w:rPr>
            </w:pPr>
            <w:r w:rsidRPr="00793061">
              <w:rPr>
                <w:color w:val="000000"/>
                <w:sz w:val="20"/>
                <w:szCs w:val="20"/>
                <w:lang w:eastAsia="bg-BG"/>
              </w:rPr>
              <w:t> </w:t>
            </w:r>
            <w:r w:rsidR="00D663EA">
              <w:rPr>
                <w:color w:val="000000"/>
                <w:sz w:val="20"/>
                <w:szCs w:val="20"/>
                <w:lang w:eastAsia="bg-BG"/>
              </w:rPr>
              <w:t>31.12.202</w:t>
            </w:r>
            <w:r w:rsidR="00257908">
              <w:rPr>
                <w:color w:val="000000"/>
                <w:sz w:val="20"/>
                <w:szCs w:val="20"/>
                <w:lang w:eastAsia="bg-BG"/>
              </w:rPr>
              <w:t>1</w:t>
            </w:r>
          </w:p>
        </w:tc>
        <w:tc>
          <w:tcPr>
            <w:tcW w:w="1529" w:type="dxa"/>
            <w:shd w:val="clear" w:color="auto" w:fill="auto"/>
            <w:noWrap/>
            <w:vAlign w:val="bottom"/>
          </w:tcPr>
          <w:p w14:paraId="71CC989A" w14:textId="77777777" w:rsidR="000215EC" w:rsidRPr="00793061" w:rsidRDefault="000215EC" w:rsidP="00B04BEF">
            <w:pPr>
              <w:rPr>
                <w:color w:val="000000"/>
                <w:sz w:val="20"/>
                <w:szCs w:val="20"/>
                <w:lang w:eastAsia="bg-BG"/>
              </w:rPr>
            </w:pPr>
            <w:r w:rsidRPr="00793061">
              <w:rPr>
                <w:color w:val="000000"/>
                <w:sz w:val="20"/>
                <w:szCs w:val="20"/>
                <w:lang w:eastAsia="bg-BG"/>
              </w:rPr>
              <w:t> </w:t>
            </w:r>
            <w:r>
              <w:rPr>
                <w:color w:val="000000"/>
                <w:sz w:val="20"/>
                <w:szCs w:val="20"/>
                <w:lang w:eastAsia="bg-BG"/>
              </w:rPr>
              <w:t>Управител</w:t>
            </w:r>
          </w:p>
        </w:tc>
        <w:tc>
          <w:tcPr>
            <w:tcW w:w="1584" w:type="dxa"/>
            <w:shd w:val="clear" w:color="auto" w:fill="auto"/>
            <w:noWrap/>
            <w:vAlign w:val="bottom"/>
          </w:tcPr>
          <w:p w14:paraId="5107331F" w14:textId="77777777" w:rsidR="000215EC" w:rsidRPr="00793061" w:rsidRDefault="000215EC" w:rsidP="00B04BEF">
            <w:pPr>
              <w:rPr>
                <w:color w:val="000000"/>
                <w:sz w:val="20"/>
                <w:szCs w:val="20"/>
                <w:lang w:eastAsia="bg-BG"/>
              </w:rPr>
            </w:pPr>
            <w:r w:rsidRPr="00793061">
              <w:rPr>
                <w:color w:val="000000"/>
                <w:sz w:val="20"/>
                <w:szCs w:val="20"/>
                <w:lang w:eastAsia="bg-BG"/>
              </w:rPr>
              <w:t> </w:t>
            </w:r>
            <w:r>
              <w:rPr>
                <w:color w:val="000000"/>
                <w:sz w:val="20"/>
                <w:szCs w:val="20"/>
                <w:lang w:eastAsia="bg-BG"/>
              </w:rPr>
              <w:t>Администрация</w:t>
            </w:r>
          </w:p>
        </w:tc>
      </w:tr>
      <w:tr w:rsidR="000215EC" w:rsidRPr="00793061" w14:paraId="75AA4A5C" w14:textId="77777777" w:rsidTr="002228B1">
        <w:trPr>
          <w:trHeight w:val="300"/>
          <w:jc w:val="center"/>
        </w:trPr>
        <w:tc>
          <w:tcPr>
            <w:tcW w:w="3731" w:type="dxa"/>
            <w:shd w:val="clear" w:color="auto" w:fill="auto"/>
            <w:noWrap/>
            <w:vAlign w:val="bottom"/>
          </w:tcPr>
          <w:p w14:paraId="06461D1A" w14:textId="77777777" w:rsidR="000215EC" w:rsidRPr="0010330A" w:rsidRDefault="000215EC" w:rsidP="00F51E2A">
            <w:pPr>
              <w:rPr>
                <w:color w:val="000000"/>
                <w:sz w:val="20"/>
                <w:szCs w:val="20"/>
                <w:lang w:eastAsia="bg-BG"/>
              </w:rPr>
            </w:pPr>
            <w:r w:rsidRPr="0010330A">
              <w:rPr>
                <w:color w:val="000000"/>
                <w:sz w:val="20"/>
                <w:szCs w:val="20"/>
                <w:lang w:eastAsia="bg-BG"/>
              </w:rPr>
              <w:t xml:space="preserve">Ценова политика </w:t>
            </w:r>
          </w:p>
        </w:tc>
        <w:tc>
          <w:tcPr>
            <w:tcW w:w="1202" w:type="dxa"/>
            <w:shd w:val="clear" w:color="auto" w:fill="auto"/>
            <w:noWrap/>
            <w:vAlign w:val="bottom"/>
          </w:tcPr>
          <w:p w14:paraId="4AD72E82" w14:textId="1D7A63A9" w:rsidR="000215EC" w:rsidRPr="00793061" w:rsidRDefault="000215EC" w:rsidP="00257908">
            <w:pPr>
              <w:rPr>
                <w:color w:val="000000"/>
                <w:sz w:val="20"/>
                <w:szCs w:val="20"/>
                <w:lang w:eastAsia="bg-BG"/>
              </w:rPr>
            </w:pPr>
            <w:r w:rsidRPr="00793061">
              <w:rPr>
                <w:color w:val="000000"/>
                <w:sz w:val="20"/>
                <w:szCs w:val="20"/>
                <w:lang w:eastAsia="bg-BG"/>
              </w:rPr>
              <w:t> </w:t>
            </w:r>
            <w:r w:rsidR="00257908">
              <w:rPr>
                <w:color w:val="000000"/>
                <w:sz w:val="20"/>
                <w:szCs w:val="20"/>
                <w:lang w:eastAsia="bg-BG"/>
              </w:rPr>
              <w:t>01.01.</w:t>
            </w:r>
            <w:r w:rsidR="00487716">
              <w:rPr>
                <w:color w:val="000000"/>
                <w:sz w:val="20"/>
                <w:szCs w:val="20"/>
                <w:lang w:eastAsia="bg-BG"/>
              </w:rPr>
              <w:t>2021</w:t>
            </w:r>
          </w:p>
        </w:tc>
        <w:tc>
          <w:tcPr>
            <w:tcW w:w="1134" w:type="dxa"/>
            <w:shd w:val="clear" w:color="auto" w:fill="auto"/>
            <w:noWrap/>
            <w:vAlign w:val="bottom"/>
          </w:tcPr>
          <w:p w14:paraId="3C2016AE" w14:textId="77777777" w:rsidR="000215EC" w:rsidRPr="00793061" w:rsidRDefault="000215EC" w:rsidP="00257908">
            <w:pPr>
              <w:rPr>
                <w:color w:val="000000"/>
                <w:sz w:val="20"/>
                <w:szCs w:val="20"/>
                <w:lang w:eastAsia="bg-BG"/>
              </w:rPr>
            </w:pPr>
            <w:r w:rsidRPr="00793061">
              <w:rPr>
                <w:color w:val="000000"/>
                <w:sz w:val="20"/>
                <w:szCs w:val="20"/>
                <w:lang w:eastAsia="bg-BG"/>
              </w:rPr>
              <w:t> </w:t>
            </w:r>
            <w:r>
              <w:rPr>
                <w:color w:val="000000"/>
                <w:sz w:val="20"/>
                <w:szCs w:val="20"/>
                <w:lang w:eastAsia="bg-BG"/>
              </w:rPr>
              <w:t>31.12.20</w:t>
            </w:r>
            <w:r w:rsidR="00D663EA">
              <w:rPr>
                <w:color w:val="000000"/>
                <w:sz w:val="20"/>
                <w:szCs w:val="20"/>
                <w:lang w:eastAsia="bg-BG"/>
              </w:rPr>
              <w:t>2</w:t>
            </w:r>
            <w:r w:rsidR="00257908">
              <w:rPr>
                <w:color w:val="000000"/>
                <w:sz w:val="20"/>
                <w:szCs w:val="20"/>
                <w:lang w:eastAsia="bg-BG"/>
              </w:rPr>
              <w:t>1</w:t>
            </w:r>
          </w:p>
        </w:tc>
        <w:tc>
          <w:tcPr>
            <w:tcW w:w="1529" w:type="dxa"/>
            <w:shd w:val="clear" w:color="auto" w:fill="auto"/>
            <w:noWrap/>
            <w:vAlign w:val="bottom"/>
          </w:tcPr>
          <w:p w14:paraId="3612E8CE" w14:textId="77777777" w:rsidR="000215EC" w:rsidRPr="00793061" w:rsidRDefault="000215EC" w:rsidP="00B04BEF">
            <w:pPr>
              <w:rPr>
                <w:color w:val="000000"/>
                <w:sz w:val="20"/>
                <w:szCs w:val="20"/>
                <w:lang w:eastAsia="bg-BG"/>
              </w:rPr>
            </w:pPr>
            <w:r w:rsidRPr="00793061">
              <w:rPr>
                <w:color w:val="000000"/>
                <w:sz w:val="20"/>
                <w:szCs w:val="20"/>
                <w:lang w:eastAsia="bg-BG"/>
              </w:rPr>
              <w:t> </w:t>
            </w:r>
            <w:r>
              <w:rPr>
                <w:color w:val="000000"/>
                <w:sz w:val="20"/>
                <w:szCs w:val="20"/>
                <w:lang w:eastAsia="bg-BG"/>
              </w:rPr>
              <w:t>Управител</w:t>
            </w:r>
          </w:p>
        </w:tc>
        <w:tc>
          <w:tcPr>
            <w:tcW w:w="1584" w:type="dxa"/>
            <w:shd w:val="clear" w:color="auto" w:fill="auto"/>
            <w:noWrap/>
            <w:vAlign w:val="bottom"/>
          </w:tcPr>
          <w:p w14:paraId="0E79E747" w14:textId="77777777" w:rsidR="000215EC" w:rsidRPr="00793061" w:rsidRDefault="000215EC" w:rsidP="00B04BEF">
            <w:pPr>
              <w:rPr>
                <w:color w:val="000000"/>
                <w:sz w:val="20"/>
                <w:szCs w:val="20"/>
                <w:lang w:eastAsia="bg-BG"/>
              </w:rPr>
            </w:pPr>
            <w:r w:rsidRPr="00793061">
              <w:rPr>
                <w:color w:val="000000"/>
                <w:sz w:val="20"/>
                <w:szCs w:val="20"/>
                <w:lang w:eastAsia="bg-BG"/>
              </w:rPr>
              <w:t> </w:t>
            </w:r>
            <w:r>
              <w:rPr>
                <w:color w:val="000000"/>
                <w:sz w:val="20"/>
                <w:szCs w:val="20"/>
                <w:lang w:eastAsia="bg-BG"/>
              </w:rPr>
              <w:t>Администрация</w:t>
            </w:r>
          </w:p>
        </w:tc>
      </w:tr>
      <w:tr w:rsidR="000215EC" w:rsidRPr="00793061" w14:paraId="63275067" w14:textId="77777777" w:rsidTr="002228B1">
        <w:trPr>
          <w:trHeight w:val="300"/>
          <w:jc w:val="center"/>
        </w:trPr>
        <w:tc>
          <w:tcPr>
            <w:tcW w:w="3731" w:type="dxa"/>
            <w:shd w:val="clear" w:color="auto" w:fill="auto"/>
            <w:noWrap/>
            <w:vAlign w:val="bottom"/>
          </w:tcPr>
          <w:p w14:paraId="20F394C6" w14:textId="77777777" w:rsidR="000215EC" w:rsidRPr="0010330A" w:rsidRDefault="000215EC" w:rsidP="00F51E2A">
            <w:pPr>
              <w:rPr>
                <w:color w:val="000000"/>
                <w:sz w:val="20"/>
                <w:szCs w:val="20"/>
                <w:lang w:eastAsia="bg-BG"/>
              </w:rPr>
            </w:pPr>
            <w:r w:rsidRPr="0010330A">
              <w:rPr>
                <w:color w:val="000000"/>
                <w:sz w:val="20"/>
                <w:szCs w:val="20"/>
                <w:lang w:eastAsia="bg-BG"/>
              </w:rPr>
              <w:t>Рекламна политика</w:t>
            </w:r>
          </w:p>
        </w:tc>
        <w:tc>
          <w:tcPr>
            <w:tcW w:w="1202" w:type="dxa"/>
            <w:shd w:val="clear" w:color="auto" w:fill="auto"/>
            <w:noWrap/>
            <w:vAlign w:val="bottom"/>
          </w:tcPr>
          <w:p w14:paraId="3B9F3264" w14:textId="7BF13015" w:rsidR="000215EC" w:rsidRPr="00793061" w:rsidRDefault="000215EC" w:rsidP="00257908">
            <w:pPr>
              <w:rPr>
                <w:color w:val="000000"/>
                <w:sz w:val="20"/>
                <w:szCs w:val="20"/>
                <w:lang w:eastAsia="bg-BG"/>
              </w:rPr>
            </w:pPr>
            <w:r w:rsidRPr="00793061">
              <w:rPr>
                <w:color w:val="000000"/>
                <w:sz w:val="20"/>
                <w:szCs w:val="20"/>
                <w:lang w:eastAsia="bg-BG"/>
              </w:rPr>
              <w:t> </w:t>
            </w:r>
            <w:r>
              <w:rPr>
                <w:color w:val="000000"/>
                <w:sz w:val="20"/>
                <w:szCs w:val="20"/>
                <w:lang w:eastAsia="bg-BG"/>
              </w:rPr>
              <w:t>01.01.</w:t>
            </w:r>
            <w:r w:rsidR="00487716">
              <w:rPr>
                <w:color w:val="000000"/>
                <w:sz w:val="20"/>
                <w:szCs w:val="20"/>
                <w:lang w:eastAsia="bg-BG"/>
              </w:rPr>
              <w:t>2021</w:t>
            </w:r>
          </w:p>
        </w:tc>
        <w:tc>
          <w:tcPr>
            <w:tcW w:w="1134" w:type="dxa"/>
            <w:shd w:val="clear" w:color="auto" w:fill="auto"/>
            <w:noWrap/>
            <w:vAlign w:val="bottom"/>
          </w:tcPr>
          <w:p w14:paraId="655D0496" w14:textId="77777777" w:rsidR="000215EC" w:rsidRPr="00793061" w:rsidRDefault="000215EC" w:rsidP="00257908">
            <w:pPr>
              <w:rPr>
                <w:color w:val="000000"/>
                <w:sz w:val="20"/>
                <w:szCs w:val="20"/>
                <w:lang w:eastAsia="bg-BG"/>
              </w:rPr>
            </w:pPr>
            <w:r w:rsidRPr="00793061">
              <w:rPr>
                <w:color w:val="000000"/>
                <w:sz w:val="20"/>
                <w:szCs w:val="20"/>
                <w:lang w:eastAsia="bg-BG"/>
              </w:rPr>
              <w:t> </w:t>
            </w:r>
            <w:r>
              <w:rPr>
                <w:color w:val="000000"/>
                <w:sz w:val="20"/>
                <w:szCs w:val="20"/>
                <w:lang w:eastAsia="bg-BG"/>
              </w:rPr>
              <w:t>31.12.20</w:t>
            </w:r>
            <w:r w:rsidR="00D663EA">
              <w:rPr>
                <w:color w:val="000000"/>
                <w:sz w:val="20"/>
                <w:szCs w:val="20"/>
                <w:lang w:eastAsia="bg-BG"/>
              </w:rPr>
              <w:t>2</w:t>
            </w:r>
            <w:r w:rsidR="00257908">
              <w:rPr>
                <w:color w:val="000000"/>
                <w:sz w:val="20"/>
                <w:szCs w:val="20"/>
                <w:lang w:eastAsia="bg-BG"/>
              </w:rPr>
              <w:t>1</w:t>
            </w:r>
          </w:p>
        </w:tc>
        <w:tc>
          <w:tcPr>
            <w:tcW w:w="1529" w:type="dxa"/>
            <w:shd w:val="clear" w:color="auto" w:fill="auto"/>
            <w:noWrap/>
            <w:vAlign w:val="bottom"/>
          </w:tcPr>
          <w:p w14:paraId="3C85DBAA" w14:textId="77777777" w:rsidR="000215EC" w:rsidRPr="00793061" w:rsidRDefault="000215EC" w:rsidP="00B04BEF">
            <w:pPr>
              <w:rPr>
                <w:color w:val="000000"/>
                <w:sz w:val="20"/>
                <w:szCs w:val="20"/>
                <w:lang w:eastAsia="bg-BG"/>
              </w:rPr>
            </w:pPr>
            <w:r w:rsidRPr="00793061">
              <w:rPr>
                <w:color w:val="000000"/>
                <w:sz w:val="20"/>
                <w:szCs w:val="20"/>
                <w:lang w:eastAsia="bg-BG"/>
              </w:rPr>
              <w:t> </w:t>
            </w:r>
            <w:r>
              <w:rPr>
                <w:color w:val="000000"/>
                <w:sz w:val="20"/>
                <w:szCs w:val="20"/>
                <w:lang w:eastAsia="bg-BG"/>
              </w:rPr>
              <w:t>Управител</w:t>
            </w:r>
          </w:p>
        </w:tc>
        <w:tc>
          <w:tcPr>
            <w:tcW w:w="1584" w:type="dxa"/>
            <w:shd w:val="clear" w:color="auto" w:fill="auto"/>
            <w:noWrap/>
            <w:vAlign w:val="bottom"/>
          </w:tcPr>
          <w:p w14:paraId="7648D52F" w14:textId="77777777" w:rsidR="000215EC" w:rsidRPr="00793061" w:rsidRDefault="000215EC" w:rsidP="00B04BEF">
            <w:pPr>
              <w:rPr>
                <w:color w:val="000000"/>
                <w:sz w:val="20"/>
                <w:szCs w:val="20"/>
                <w:lang w:eastAsia="bg-BG"/>
              </w:rPr>
            </w:pPr>
            <w:r w:rsidRPr="00793061">
              <w:rPr>
                <w:color w:val="000000"/>
                <w:sz w:val="20"/>
                <w:szCs w:val="20"/>
                <w:lang w:eastAsia="bg-BG"/>
              </w:rPr>
              <w:t> </w:t>
            </w:r>
            <w:r>
              <w:rPr>
                <w:color w:val="000000"/>
                <w:sz w:val="20"/>
                <w:szCs w:val="20"/>
                <w:lang w:eastAsia="bg-BG"/>
              </w:rPr>
              <w:t>Администрация</w:t>
            </w:r>
          </w:p>
        </w:tc>
      </w:tr>
      <w:tr w:rsidR="000215EC" w:rsidRPr="00793061" w14:paraId="2C60F509" w14:textId="77777777" w:rsidTr="002228B1">
        <w:trPr>
          <w:trHeight w:val="300"/>
          <w:jc w:val="center"/>
        </w:trPr>
        <w:tc>
          <w:tcPr>
            <w:tcW w:w="3731" w:type="dxa"/>
            <w:shd w:val="clear" w:color="auto" w:fill="auto"/>
            <w:noWrap/>
            <w:vAlign w:val="bottom"/>
          </w:tcPr>
          <w:p w14:paraId="764461A5" w14:textId="77777777" w:rsidR="000215EC" w:rsidRPr="0010330A" w:rsidRDefault="000215EC" w:rsidP="00F51E2A">
            <w:pPr>
              <w:rPr>
                <w:color w:val="000000"/>
                <w:sz w:val="20"/>
                <w:szCs w:val="20"/>
                <w:lang w:eastAsia="bg-BG"/>
              </w:rPr>
            </w:pPr>
            <w:r w:rsidRPr="0010330A">
              <w:rPr>
                <w:color w:val="000000"/>
                <w:sz w:val="20"/>
                <w:szCs w:val="20"/>
                <w:lang w:eastAsia="bg-BG"/>
              </w:rPr>
              <w:t>Кадрова и социална политика</w:t>
            </w:r>
          </w:p>
        </w:tc>
        <w:tc>
          <w:tcPr>
            <w:tcW w:w="1202" w:type="dxa"/>
            <w:shd w:val="clear" w:color="auto" w:fill="auto"/>
            <w:noWrap/>
            <w:vAlign w:val="bottom"/>
          </w:tcPr>
          <w:p w14:paraId="3862FC2A" w14:textId="06A19AC4" w:rsidR="000215EC" w:rsidRPr="00793061" w:rsidRDefault="000215EC" w:rsidP="00257908">
            <w:pPr>
              <w:rPr>
                <w:color w:val="000000"/>
                <w:sz w:val="20"/>
                <w:szCs w:val="20"/>
                <w:lang w:eastAsia="bg-BG"/>
              </w:rPr>
            </w:pPr>
            <w:r w:rsidRPr="00793061">
              <w:rPr>
                <w:color w:val="000000"/>
                <w:sz w:val="20"/>
                <w:szCs w:val="20"/>
                <w:lang w:eastAsia="bg-BG"/>
              </w:rPr>
              <w:t> </w:t>
            </w:r>
            <w:r>
              <w:rPr>
                <w:color w:val="000000"/>
                <w:sz w:val="20"/>
                <w:szCs w:val="20"/>
                <w:lang w:eastAsia="bg-BG"/>
              </w:rPr>
              <w:t>01.01.</w:t>
            </w:r>
            <w:r w:rsidR="00487716">
              <w:rPr>
                <w:color w:val="000000"/>
                <w:sz w:val="20"/>
                <w:szCs w:val="20"/>
                <w:lang w:eastAsia="bg-BG"/>
              </w:rPr>
              <w:t>2021</w:t>
            </w:r>
          </w:p>
        </w:tc>
        <w:tc>
          <w:tcPr>
            <w:tcW w:w="1134" w:type="dxa"/>
            <w:shd w:val="clear" w:color="auto" w:fill="auto"/>
            <w:noWrap/>
            <w:vAlign w:val="bottom"/>
          </w:tcPr>
          <w:p w14:paraId="4870AF99" w14:textId="77777777" w:rsidR="000215EC" w:rsidRPr="00793061" w:rsidRDefault="000215EC" w:rsidP="00257908">
            <w:pPr>
              <w:rPr>
                <w:color w:val="000000"/>
                <w:sz w:val="20"/>
                <w:szCs w:val="20"/>
                <w:lang w:eastAsia="bg-BG"/>
              </w:rPr>
            </w:pPr>
            <w:r w:rsidRPr="00793061">
              <w:rPr>
                <w:color w:val="000000"/>
                <w:sz w:val="20"/>
                <w:szCs w:val="20"/>
                <w:lang w:eastAsia="bg-BG"/>
              </w:rPr>
              <w:t> </w:t>
            </w:r>
            <w:r>
              <w:rPr>
                <w:color w:val="000000"/>
                <w:sz w:val="20"/>
                <w:szCs w:val="20"/>
                <w:lang w:eastAsia="bg-BG"/>
              </w:rPr>
              <w:t>31.12.20</w:t>
            </w:r>
            <w:r w:rsidR="00D663EA">
              <w:rPr>
                <w:color w:val="000000"/>
                <w:sz w:val="20"/>
                <w:szCs w:val="20"/>
                <w:lang w:eastAsia="bg-BG"/>
              </w:rPr>
              <w:t>2</w:t>
            </w:r>
            <w:r w:rsidR="00257908">
              <w:rPr>
                <w:color w:val="000000"/>
                <w:sz w:val="20"/>
                <w:szCs w:val="20"/>
                <w:lang w:eastAsia="bg-BG"/>
              </w:rPr>
              <w:t>1</w:t>
            </w:r>
          </w:p>
        </w:tc>
        <w:tc>
          <w:tcPr>
            <w:tcW w:w="1529" w:type="dxa"/>
            <w:shd w:val="clear" w:color="auto" w:fill="auto"/>
            <w:noWrap/>
            <w:vAlign w:val="bottom"/>
          </w:tcPr>
          <w:p w14:paraId="260D6058" w14:textId="77777777" w:rsidR="000215EC" w:rsidRPr="00793061" w:rsidRDefault="000215EC" w:rsidP="00B04BEF">
            <w:pPr>
              <w:rPr>
                <w:color w:val="000000"/>
                <w:sz w:val="20"/>
                <w:szCs w:val="20"/>
                <w:lang w:eastAsia="bg-BG"/>
              </w:rPr>
            </w:pPr>
            <w:r w:rsidRPr="00793061">
              <w:rPr>
                <w:color w:val="000000"/>
                <w:sz w:val="20"/>
                <w:szCs w:val="20"/>
                <w:lang w:eastAsia="bg-BG"/>
              </w:rPr>
              <w:t> </w:t>
            </w:r>
            <w:r>
              <w:rPr>
                <w:color w:val="000000"/>
                <w:sz w:val="20"/>
                <w:szCs w:val="20"/>
                <w:lang w:eastAsia="bg-BG"/>
              </w:rPr>
              <w:t>Управител</w:t>
            </w:r>
          </w:p>
        </w:tc>
        <w:tc>
          <w:tcPr>
            <w:tcW w:w="1584" w:type="dxa"/>
            <w:shd w:val="clear" w:color="auto" w:fill="auto"/>
            <w:noWrap/>
            <w:vAlign w:val="bottom"/>
          </w:tcPr>
          <w:p w14:paraId="6A35C8B0" w14:textId="77777777" w:rsidR="000215EC" w:rsidRPr="00793061" w:rsidRDefault="000215EC" w:rsidP="00B04BEF">
            <w:pPr>
              <w:rPr>
                <w:color w:val="000000"/>
                <w:sz w:val="20"/>
                <w:szCs w:val="20"/>
                <w:lang w:eastAsia="bg-BG"/>
              </w:rPr>
            </w:pPr>
            <w:r w:rsidRPr="00793061">
              <w:rPr>
                <w:color w:val="000000"/>
                <w:sz w:val="20"/>
                <w:szCs w:val="20"/>
                <w:lang w:eastAsia="bg-BG"/>
              </w:rPr>
              <w:t> </w:t>
            </w:r>
            <w:r>
              <w:rPr>
                <w:color w:val="000000"/>
                <w:sz w:val="20"/>
                <w:szCs w:val="20"/>
                <w:lang w:eastAsia="bg-BG"/>
              </w:rPr>
              <w:t>Администрация</w:t>
            </w:r>
          </w:p>
        </w:tc>
      </w:tr>
      <w:tr w:rsidR="000215EC" w:rsidRPr="00793061" w14:paraId="28F2AC60" w14:textId="77777777" w:rsidTr="002228B1">
        <w:trPr>
          <w:trHeight w:val="300"/>
          <w:jc w:val="center"/>
        </w:trPr>
        <w:tc>
          <w:tcPr>
            <w:tcW w:w="3731" w:type="dxa"/>
            <w:shd w:val="clear" w:color="auto" w:fill="auto"/>
            <w:noWrap/>
            <w:vAlign w:val="bottom"/>
          </w:tcPr>
          <w:p w14:paraId="1EA51FBB" w14:textId="77777777" w:rsidR="000215EC" w:rsidRPr="0010330A" w:rsidRDefault="000215EC" w:rsidP="00F51E2A">
            <w:pPr>
              <w:rPr>
                <w:color w:val="000000"/>
                <w:sz w:val="20"/>
                <w:szCs w:val="20"/>
                <w:lang w:eastAsia="bg-BG"/>
              </w:rPr>
            </w:pPr>
            <w:r w:rsidRPr="0010330A">
              <w:rPr>
                <w:color w:val="000000"/>
                <w:sz w:val="20"/>
                <w:szCs w:val="20"/>
                <w:lang w:eastAsia="bg-BG"/>
              </w:rPr>
              <w:t>Инвестиционна политика</w:t>
            </w:r>
          </w:p>
        </w:tc>
        <w:tc>
          <w:tcPr>
            <w:tcW w:w="1202" w:type="dxa"/>
            <w:shd w:val="clear" w:color="auto" w:fill="auto"/>
            <w:noWrap/>
            <w:vAlign w:val="bottom"/>
          </w:tcPr>
          <w:p w14:paraId="3FBF0B05" w14:textId="23DCFFCC" w:rsidR="000215EC" w:rsidRPr="00793061" w:rsidRDefault="000215EC" w:rsidP="00257908">
            <w:pPr>
              <w:rPr>
                <w:color w:val="000000"/>
                <w:sz w:val="20"/>
                <w:szCs w:val="20"/>
                <w:lang w:eastAsia="bg-BG"/>
              </w:rPr>
            </w:pPr>
            <w:r w:rsidRPr="00793061">
              <w:rPr>
                <w:color w:val="000000"/>
                <w:sz w:val="20"/>
                <w:szCs w:val="20"/>
                <w:lang w:eastAsia="bg-BG"/>
              </w:rPr>
              <w:t> </w:t>
            </w:r>
            <w:r w:rsidR="002F48C5">
              <w:rPr>
                <w:color w:val="000000"/>
                <w:sz w:val="20"/>
                <w:szCs w:val="20"/>
                <w:lang w:eastAsia="bg-BG"/>
              </w:rPr>
              <w:t>01.01.</w:t>
            </w:r>
            <w:r w:rsidR="00487716">
              <w:rPr>
                <w:color w:val="000000"/>
                <w:sz w:val="20"/>
                <w:szCs w:val="20"/>
                <w:lang w:eastAsia="bg-BG"/>
              </w:rPr>
              <w:t>2021</w:t>
            </w:r>
          </w:p>
        </w:tc>
        <w:tc>
          <w:tcPr>
            <w:tcW w:w="1134" w:type="dxa"/>
            <w:shd w:val="clear" w:color="auto" w:fill="auto"/>
            <w:noWrap/>
            <w:vAlign w:val="bottom"/>
          </w:tcPr>
          <w:p w14:paraId="1F16A09A" w14:textId="77777777" w:rsidR="000215EC" w:rsidRPr="00793061" w:rsidRDefault="000215EC" w:rsidP="00257908">
            <w:pPr>
              <w:rPr>
                <w:color w:val="000000"/>
                <w:sz w:val="20"/>
                <w:szCs w:val="20"/>
                <w:lang w:eastAsia="bg-BG"/>
              </w:rPr>
            </w:pPr>
            <w:r w:rsidRPr="00793061">
              <w:rPr>
                <w:color w:val="000000"/>
                <w:sz w:val="20"/>
                <w:szCs w:val="20"/>
                <w:lang w:eastAsia="bg-BG"/>
              </w:rPr>
              <w:t> </w:t>
            </w:r>
            <w:r>
              <w:rPr>
                <w:color w:val="000000"/>
                <w:sz w:val="20"/>
                <w:szCs w:val="20"/>
                <w:lang w:eastAsia="bg-BG"/>
              </w:rPr>
              <w:t>31.12.20</w:t>
            </w:r>
            <w:r w:rsidR="00D663EA">
              <w:rPr>
                <w:color w:val="000000"/>
                <w:sz w:val="20"/>
                <w:szCs w:val="20"/>
                <w:lang w:eastAsia="bg-BG"/>
              </w:rPr>
              <w:t>2</w:t>
            </w:r>
            <w:r w:rsidR="00257908">
              <w:rPr>
                <w:color w:val="000000"/>
                <w:sz w:val="20"/>
                <w:szCs w:val="20"/>
                <w:lang w:eastAsia="bg-BG"/>
              </w:rPr>
              <w:t>1</w:t>
            </w:r>
          </w:p>
        </w:tc>
        <w:tc>
          <w:tcPr>
            <w:tcW w:w="1529" w:type="dxa"/>
            <w:shd w:val="clear" w:color="auto" w:fill="auto"/>
            <w:noWrap/>
            <w:vAlign w:val="bottom"/>
          </w:tcPr>
          <w:p w14:paraId="421BE8FF" w14:textId="77777777" w:rsidR="000215EC" w:rsidRPr="00793061" w:rsidRDefault="000215EC" w:rsidP="00B04BEF">
            <w:pPr>
              <w:rPr>
                <w:color w:val="000000"/>
                <w:sz w:val="20"/>
                <w:szCs w:val="20"/>
                <w:lang w:eastAsia="bg-BG"/>
              </w:rPr>
            </w:pPr>
            <w:r w:rsidRPr="00793061">
              <w:rPr>
                <w:color w:val="000000"/>
                <w:sz w:val="20"/>
                <w:szCs w:val="20"/>
                <w:lang w:eastAsia="bg-BG"/>
              </w:rPr>
              <w:t> </w:t>
            </w:r>
            <w:r>
              <w:rPr>
                <w:color w:val="000000"/>
                <w:sz w:val="20"/>
                <w:szCs w:val="20"/>
                <w:lang w:eastAsia="bg-BG"/>
              </w:rPr>
              <w:t>Управител</w:t>
            </w:r>
          </w:p>
        </w:tc>
        <w:tc>
          <w:tcPr>
            <w:tcW w:w="1584" w:type="dxa"/>
            <w:shd w:val="clear" w:color="auto" w:fill="auto"/>
            <w:noWrap/>
            <w:vAlign w:val="bottom"/>
          </w:tcPr>
          <w:p w14:paraId="43C64931" w14:textId="77777777" w:rsidR="000215EC" w:rsidRPr="00793061" w:rsidRDefault="000215EC" w:rsidP="00B04BEF">
            <w:pPr>
              <w:rPr>
                <w:color w:val="000000"/>
                <w:sz w:val="20"/>
                <w:szCs w:val="20"/>
                <w:lang w:eastAsia="bg-BG"/>
              </w:rPr>
            </w:pPr>
            <w:r w:rsidRPr="00793061">
              <w:rPr>
                <w:color w:val="000000"/>
                <w:sz w:val="20"/>
                <w:szCs w:val="20"/>
                <w:lang w:eastAsia="bg-BG"/>
              </w:rPr>
              <w:t> </w:t>
            </w:r>
            <w:r>
              <w:rPr>
                <w:color w:val="000000"/>
                <w:sz w:val="20"/>
                <w:szCs w:val="20"/>
                <w:lang w:eastAsia="bg-BG"/>
              </w:rPr>
              <w:t>Администрация</w:t>
            </w:r>
          </w:p>
        </w:tc>
      </w:tr>
      <w:tr w:rsidR="000215EC" w:rsidRPr="00793061" w14:paraId="343C5762" w14:textId="77777777" w:rsidTr="002228B1">
        <w:trPr>
          <w:trHeight w:val="300"/>
          <w:jc w:val="center"/>
        </w:trPr>
        <w:tc>
          <w:tcPr>
            <w:tcW w:w="3731" w:type="dxa"/>
            <w:shd w:val="clear" w:color="auto" w:fill="auto"/>
            <w:noWrap/>
            <w:vAlign w:val="bottom"/>
          </w:tcPr>
          <w:p w14:paraId="00CBB4F9" w14:textId="77777777" w:rsidR="000215EC" w:rsidRPr="0010330A" w:rsidRDefault="000215EC" w:rsidP="00F51E2A">
            <w:pPr>
              <w:rPr>
                <w:color w:val="000000"/>
                <w:sz w:val="20"/>
                <w:szCs w:val="20"/>
                <w:lang w:eastAsia="bg-BG"/>
              </w:rPr>
            </w:pPr>
          </w:p>
        </w:tc>
        <w:tc>
          <w:tcPr>
            <w:tcW w:w="1202" w:type="dxa"/>
            <w:shd w:val="clear" w:color="auto" w:fill="auto"/>
            <w:noWrap/>
            <w:vAlign w:val="bottom"/>
          </w:tcPr>
          <w:p w14:paraId="21EA5C9F" w14:textId="77777777" w:rsidR="000215EC" w:rsidRPr="00793061" w:rsidRDefault="000215EC" w:rsidP="00F51E2A">
            <w:pPr>
              <w:rPr>
                <w:color w:val="000000"/>
                <w:sz w:val="20"/>
                <w:szCs w:val="20"/>
                <w:lang w:eastAsia="bg-BG"/>
              </w:rPr>
            </w:pPr>
          </w:p>
        </w:tc>
        <w:tc>
          <w:tcPr>
            <w:tcW w:w="1134" w:type="dxa"/>
            <w:shd w:val="clear" w:color="auto" w:fill="auto"/>
            <w:noWrap/>
            <w:vAlign w:val="bottom"/>
          </w:tcPr>
          <w:p w14:paraId="36F00107" w14:textId="77777777" w:rsidR="000215EC" w:rsidRPr="00793061" w:rsidRDefault="000215EC" w:rsidP="00F51E2A">
            <w:pPr>
              <w:rPr>
                <w:color w:val="000000"/>
                <w:sz w:val="20"/>
                <w:szCs w:val="20"/>
                <w:lang w:eastAsia="bg-BG"/>
              </w:rPr>
            </w:pPr>
          </w:p>
        </w:tc>
        <w:tc>
          <w:tcPr>
            <w:tcW w:w="1529" w:type="dxa"/>
            <w:shd w:val="clear" w:color="auto" w:fill="auto"/>
            <w:noWrap/>
            <w:vAlign w:val="bottom"/>
          </w:tcPr>
          <w:p w14:paraId="3064308A" w14:textId="77777777" w:rsidR="000215EC" w:rsidRPr="00793061" w:rsidRDefault="000215EC" w:rsidP="00F51E2A">
            <w:pPr>
              <w:rPr>
                <w:color w:val="000000"/>
                <w:sz w:val="20"/>
                <w:szCs w:val="20"/>
                <w:lang w:eastAsia="bg-BG"/>
              </w:rPr>
            </w:pPr>
          </w:p>
        </w:tc>
        <w:tc>
          <w:tcPr>
            <w:tcW w:w="1584" w:type="dxa"/>
            <w:shd w:val="clear" w:color="auto" w:fill="auto"/>
            <w:noWrap/>
            <w:vAlign w:val="bottom"/>
          </w:tcPr>
          <w:p w14:paraId="0EA6E8C4" w14:textId="77777777" w:rsidR="000215EC" w:rsidRPr="00793061" w:rsidRDefault="000215EC" w:rsidP="00F51E2A">
            <w:pPr>
              <w:rPr>
                <w:color w:val="000000"/>
                <w:sz w:val="20"/>
                <w:szCs w:val="20"/>
                <w:lang w:eastAsia="bg-BG"/>
              </w:rPr>
            </w:pPr>
          </w:p>
        </w:tc>
      </w:tr>
    </w:tbl>
    <w:p w14:paraId="09F11C94" w14:textId="2D3682A6" w:rsidR="00A55917" w:rsidRDefault="00A55917" w:rsidP="00A55917">
      <w:pPr>
        <w:pStyle w:val="BodyText"/>
        <w:ind w:left="180" w:right="180"/>
        <w:jc w:val="both"/>
        <w:rPr>
          <w:rFonts w:ascii="Calibri" w:hAnsi="Calibri"/>
          <w:b/>
          <w:color w:val="E36C0A"/>
          <w:sz w:val="22"/>
        </w:rPr>
      </w:pPr>
    </w:p>
    <w:p w14:paraId="1F3ED893" w14:textId="77777777" w:rsidR="00467EA2" w:rsidRPr="002228B1" w:rsidRDefault="00467EA2" w:rsidP="00A55917">
      <w:pPr>
        <w:pStyle w:val="BodyText"/>
        <w:ind w:left="180" w:right="180"/>
        <w:jc w:val="both"/>
        <w:rPr>
          <w:rFonts w:ascii="Calibri" w:hAnsi="Calibri"/>
          <w:b/>
          <w:color w:val="E36C0A"/>
          <w:sz w:val="22"/>
        </w:rPr>
      </w:pPr>
    </w:p>
    <w:p w14:paraId="567F2813" w14:textId="490730B4" w:rsidR="00D663EA" w:rsidRPr="002914FE" w:rsidRDefault="00FE19BB" w:rsidP="00FE19BB">
      <w:pPr>
        <w:pStyle w:val="BodyText"/>
        <w:ind w:left="180" w:right="180"/>
        <w:jc w:val="both"/>
        <w:rPr>
          <w:rFonts w:ascii="Calibri" w:hAnsi="Calibri"/>
          <w:b/>
          <w:color w:val="000000"/>
          <w:sz w:val="22"/>
          <w:lang w:val="en-US"/>
        </w:rPr>
      </w:pPr>
      <w:r w:rsidRPr="002914FE">
        <w:rPr>
          <w:rFonts w:ascii="Calibri" w:hAnsi="Calibri"/>
          <w:b/>
          <w:color w:val="000000"/>
          <w:sz w:val="22"/>
        </w:rPr>
        <w:t>Прогнозни финансови резултати:</w:t>
      </w:r>
    </w:p>
    <w:tbl>
      <w:tblPr>
        <w:tblW w:w="9923" w:type="dxa"/>
        <w:tblLayout w:type="fixed"/>
        <w:tblLook w:val="04A0" w:firstRow="1" w:lastRow="0" w:firstColumn="1" w:lastColumn="0" w:noHBand="0" w:noVBand="1"/>
      </w:tblPr>
      <w:tblGrid>
        <w:gridCol w:w="419"/>
        <w:gridCol w:w="5393"/>
        <w:gridCol w:w="1134"/>
        <w:gridCol w:w="992"/>
        <w:gridCol w:w="993"/>
        <w:gridCol w:w="992"/>
      </w:tblGrid>
      <w:tr w:rsidR="00467EA2" w:rsidRPr="00467EA2" w14:paraId="0CABE6AE" w14:textId="77777777" w:rsidTr="001E4B17">
        <w:trPr>
          <w:trHeight w:val="225"/>
        </w:trPr>
        <w:tc>
          <w:tcPr>
            <w:tcW w:w="9923" w:type="dxa"/>
            <w:gridSpan w:val="6"/>
            <w:tcBorders>
              <w:top w:val="nil"/>
              <w:left w:val="nil"/>
              <w:bottom w:val="nil"/>
              <w:right w:val="nil"/>
            </w:tcBorders>
            <w:shd w:val="clear" w:color="auto" w:fill="auto"/>
            <w:noWrap/>
            <w:vAlign w:val="bottom"/>
            <w:hideMark/>
          </w:tcPr>
          <w:p w14:paraId="27308D5D" w14:textId="77777777" w:rsidR="00467EA2" w:rsidRPr="00467EA2" w:rsidRDefault="00467EA2" w:rsidP="00467EA2">
            <w:pPr>
              <w:jc w:val="right"/>
              <w:rPr>
                <w:rFonts w:eastAsia="Times New Roman" w:cs="Calibri"/>
                <w:b/>
                <w:bCs/>
                <w:i/>
                <w:iCs/>
                <w:sz w:val="20"/>
                <w:szCs w:val="20"/>
                <w:lang w:val="en-US"/>
              </w:rPr>
            </w:pPr>
            <w:r w:rsidRPr="00467EA2">
              <w:rPr>
                <w:rFonts w:eastAsia="Times New Roman" w:cs="Calibri"/>
                <w:b/>
                <w:bCs/>
                <w:i/>
                <w:iCs/>
                <w:sz w:val="20"/>
                <w:szCs w:val="20"/>
                <w:lang w:val="en-US"/>
              </w:rPr>
              <w:t>(хил.лв.)</w:t>
            </w:r>
          </w:p>
        </w:tc>
      </w:tr>
      <w:tr w:rsidR="00985FAB" w:rsidRPr="00467EA2" w14:paraId="32A55042" w14:textId="77777777" w:rsidTr="001E4B17">
        <w:trPr>
          <w:trHeight w:val="244"/>
        </w:trPr>
        <w:tc>
          <w:tcPr>
            <w:tcW w:w="419" w:type="dxa"/>
            <w:vMerge w:val="restart"/>
            <w:tcBorders>
              <w:top w:val="double" w:sz="6" w:space="0" w:color="E26B0A"/>
              <w:left w:val="double" w:sz="6" w:space="0" w:color="E26B0A"/>
              <w:bottom w:val="double" w:sz="6" w:space="0" w:color="E26B0A"/>
              <w:right w:val="double" w:sz="6" w:space="0" w:color="E26B0A"/>
            </w:tcBorders>
            <w:shd w:val="clear" w:color="000000" w:fill="E26B0A"/>
            <w:noWrap/>
            <w:vAlign w:val="center"/>
            <w:hideMark/>
          </w:tcPr>
          <w:p w14:paraId="39BD5609" w14:textId="77777777" w:rsidR="00467EA2" w:rsidRPr="00467EA2" w:rsidRDefault="00467EA2" w:rsidP="00467EA2">
            <w:pPr>
              <w:jc w:val="center"/>
              <w:rPr>
                <w:rFonts w:eastAsia="Times New Roman" w:cs="Calibri"/>
                <w:b/>
                <w:bCs/>
                <w:color w:val="FFFFFF"/>
                <w:sz w:val="20"/>
                <w:szCs w:val="20"/>
                <w:lang w:val="en-US"/>
              </w:rPr>
            </w:pPr>
            <w:r w:rsidRPr="00467EA2">
              <w:rPr>
                <w:rFonts w:eastAsia="Times New Roman" w:cs="Calibri"/>
                <w:b/>
                <w:bCs/>
                <w:color w:val="FFFFFF"/>
                <w:sz w:val="20"/>
                <w:szCs w:val="20"/>
                <w:lang w:val="en-US"/>
              </w:rPr>
              <w:t>N:</w:t>
            </w:r>
          </w:p>
        </w:tc>
        <w:tc>
          <w:tcPr>
            <w:tcW w:w="5393" w:type="dxa"/>
            <w:vMerge w:val="restart"/>
            <w:tcBorders>
              <w:top w:val="double" w:sz="6" w:space="0" w:color="E26B0A"/>
              <w:left w:val="double" w:sz="6" w:space="0" w:color="E26B0A"/>
              <w:bottom w:val="double" w:sz="6" w:space="0" w:color="E26B0A"/>
              <w:right w:val="double" w:sz="6" w:space="0" w:color="E26B0A"/>
            </w:tcBorders>
            <w:shd w:val="clear" w:color="000000" w:fill="E26B0A"/>
            <w:noWrap/>
            <w:vAlign w:val="center"/>
            <w:hideMark/>
          </w:tcPr>
          <w:p w14:paraId="2F9A7348" w14:textId="77777777" w:rsidR="00467EA2" w:rsidRPr="00467EA2" w:rsidRDefault="00467EA2" w:rsidP="00467EA2">
            <w:pPr>
              <w:jc w:val="center"/>
              <w:rPr>
                <w:rFonts w:eastAsia="Times New Roman" w:cs="Calibri"/>
                <w:b/>
                <w:bCs/>
                <w:color w:val="FFFFFF"/>
                <w:sz w:val="20"/>
                <w:szCs w:val="20"/>
                <w:lang w:val="en-US"/>
              </w:rPr>
            </w:pPr>
            <w:r w:rsidRPr="00467EA2">
              <w:rPr>
                <w:rFonts w:eastAsia="Times New Roman" w:cs="Calibri"/>
                <w:b/>
                <w:bCs/>
                <w:color w:val="FFFFFF"/>
                <w:sz w:val="20"/>
                <w:szCs w:val="20"/>
                <w:lang w:val="en-US"/>
              </w:rPr>
              <w:t>Показатели:</w:t>
            </w:r>
          </w:p>
        </w:tc>
        <w:tc>
          <w:tcPr>
            <w:tcW w:w="1134" w:type="dxa"/>
            <w:vMerge w:val="restart"/>
            <w:tcBorders>
              <w:top w:val="double" w:sz="6" w:space="0" w:color="E26B0A"/>
              <w:left w:val="double" w:sz="6" w:space="0" w:color="E26B0A"/>
              <w:bottom w:val="double" w:sz="6" w:space="0" w:color="E26B0A"/>
              <w:right w:val="double" w:sz="6" w:space="0" w:color="E26B0A"/>
            </w:tcBorders>
            <w:shd w:val="clear" w:color="000000" w:fill="E26B0A"/>
            <w:vAlign w:val="center"/>
            <w:hideMark/>
          </w:tcPr>
          <w:p w14:paraId="53456D18" w14:textId="77777777" w:rsidR="00467EA2" w:rsidRPr="00467EA2" w:rsidRDefault="00467EA2" w:rsidP="00467EA2">
            <w:pPr>
              <w:jc w:val="center"/>
              <w:rPr>
                <w:rFonts w:eastAsia="Times New Roman" w:cs="Calibri"/>
                <w:b/>
                <w:bCs/>
                <w:color w:val="FFFFFF"/>
                <w:sz w:val="20"/>
                <w:szCs w:val="20"/>
                <w:lang w:val="en-US"/>
              </w:rPr>
            </w:pPr>
            <w:r w:rsidRPr="00467EA2">
              <w:rPr>
                <w:rFonts w:eastAsia="Times New Roman" w:cs="Calibri"/>
                <w:b/>
                <w:bCs/>
                <w:color w:val="FFFFFF"/>
                <w:sz w:val="20"/>
                <w:szCs w:val="20"/>
                <w:lang w:val="en-US"/>
              </w:rPr>
              <w:t>2022</w:t>
            </w:r>
          </w:p>
        </w:tc>
        <w:tc>
          <w:tcPr>
            <w:tcW w:w="992" w:type="dxa"/>
            <w:vMerge w:val="restart"/>
            <w:tcBorders>
              <w:top w:val="double" w:sz="6" w:space="0" w:color="E26B0A"/>
              <w:left w:val="double" w:sz="6" w:space="0" w:color="E26B0A"/>
              <w:bottom w:val="double" w:sz="6" w:space="0" w:color="E26B0A"/>
              <w:right w:val="double" w:sz="6" w:space="0" w:color="E26B0A"/>
            </w:tcBorders>
            <w:shd w:val="clear" w:color="000000" w:fill="E26B0A"/>
            <w:vAlign w:val="center"/>
            <w:hideMark/>
          </w:tcPr>
          <w:p w14:paraId="297706B0" w14:textId="77777777" w:rsidR="00467EA2" w:rsidRPr="00467EA2" w:rsidRDefault="00467EA2" w:rsidP="00467EA2">
            <w:pPr>
              <w:jc w:val="center"/>
              <w:rPr>
                <w:rFonts w:eastAsia="Times New Roman" w:cs="Calibri"/>
                <w:b/>
                <w:bCs/>
                <w:color w:val="FFFFFF"/>
                <w:sz w:val="20"/>
                <w:szCs w:val="20"/>
                <w:lang w:val="en-US"/>
              </w:rPr>
            </w:pPr>
            <w:r w:rsidRPr="00467EA2">
              <w:rPr>
                <w:rFonts w:eastAsia="Times New Roman" w:cs="Calibri"/>
                <w:b/>
                <w:bCs/>
                <w:color w:val="FFFFFF"/>
                <w:sz w:val="20"/>
                <w:szCs w:val="20"/>
                <w:lang w:val="en-US"/>
              </w:rPr>
              <w:t>2021</w:t>
            </w:r>
          </w:p>
        </w:tc>
        <w:tc>
          <w:tcPr>
            <w:tcW w:w="1985" w:type="dxa"/>
            <w:gridSpan w:val="2"/>
            <w:vMerge w:val="restart"/>
            <w:tcBorders>
              <w:top w:val="double" w:sz="6" w:space="0" w:color="E26B0A"/>
              <w:left w:val="double" w:sz="6" w:space="0" w:color="E26B0A"/>
              <w:bottom w:val="double" w:sz="6" w:space="0" w:color="E26B0A"/>
              <w:right w:val="double" w:sz="6" w:space="0" w:color="E26B0A"/>
            </w:tcBorders>
            <w:shd w:val="clear" w:color="000000" w:fill="E26B0A"/>
            <w:vAlign w:val="center"/>
            <w:hideMark/>
          </w:tcPr>
          <w:p w14:paraId="56486707" w14:textId="77777777" w:rsidR="00467EA2" w:rsidRPr="00467EA2" w:rsidRDefault="00467EA2" w:rsidP="00467EA2">
            <w:pPr>
              <w:jc w:val="center"/>
              <w:rPr>
                <w:rFonts w:eastAsia="Times New Roman" w:cs="Calibri"/>
                <w:b/>
                <w:bCs/>
                <w:color w:val="FFFFFF"/>
                <w:sz w:val="20"/>
                <w:szCs w:val="20"/>
                <w:lang w:val="en-US"/>
              </w:rPr>
            </w:pPr>
            <w:r w:rsidRPr="00467EA2">
              <w:rPr>
                <w:rFonts w:eastAsia="Times New Roman" w:cs="Calibri"/>
                <w:b/>
                <w:bCs/>
                <w:color w:val="FFFFFF"/>
                <w:sz w:val="20"/>
                <w:szCs w:val="20"/>
                <w:lang w:val="en-US"/>
              </w:rPr>
              <w:t>Прогноза 2022/2021</w:t>
            </w:r>
          </w:p>
        </w:tc>
      </w:tr>
      <w:tr w:rsidR="00985FAB" w:rsidRPr="00467EA2" w14:paraId="02B1F69A" w14:textId="77777777" w:rsidTr="001E4B17">
        <w:trPr>
          <w:trHeight w:val="300"/>
        </w:trPr>
        <w:tc>
          <w:tcPr>
            <w:tcW w:w="419" w:type="dxa"/>
            <w:vMerge/>
            <w:tcBorders>
              <w:top w:val="double" w:sz="6" w:space="0" w:color="E26B0A"/>
              <w:left w:val="double" w:sz="6" w:space="0" w:color="E26B0A"/>
              <w:bottom w:val="double" w:sz="6" w:space="0" w:color="E26B0A"/>
              <w:right w:val="double" w:sz="6" w:space="0" w:color="E26B0A"/>
            </w:tcBorders>
            <w:vAlign w:val="center"/>
            <w:hideMark/>
          </w:tcPr>
          <w:p w14:paraId="0B04D038" w14:textId="77777777" w:rsidR="00985FAB" w:rsidRPr="00467EA2" w:rsidRDefault="00985FAB" w:rsidP="00467EA2">
            <w:pPr>
              <w:rPr>
                <w:rFonts w:eastAsia="Times New Roman" w:cs="Calibri"/>
                <w:b/>
                <w:bCs/>
                <w:color w:val="FFFFFF"/>
                <w:sz w:val="20"/>
                <w:szCs w:val="20"/>
                <w:lang w:val="en-US"/>
              </w:rPr>
            </w:pPr>
          </w:p>
        </w:tc>
        <w:tc>
          <w:tcPr>
            <w:tcW w:w="5393" w:type="dxa"/>
            <w:vMerge/>
            <w:tcBorders>
              <w:top w:val="double" w:sz="6" w:space="0" w:color="E26B0A"/>
              <w:left w:val="double" w:sz="6" w:space="0" w:color="E26B0A"/>
              <w:bottom w:val="double" w:sz="6" w:space="0" w:color="E26B0A"/>
              <w:right w:val="double" w:sz="6" w:space="0" w:color="E26B0A"/>
            </w:tcBorders>
            <w:vAlign w:val="center"/>
            <w:hideMark/>
          </w:tcPr>
          <w:p w14:paraId="52B49875" w14:textId="77777777" w:rsidR="00985FAB" w:rsidRPr="00467EA2" w:rsidRDefault="00985FAB" w:rsidP="00467EA2">
            <w:pPr>
              <w:rPr>
                <w:rFonts w:eastAsia="Times New Roman" w:cs="Calibri"/>
                <w:b/>
                <w:bCs/>
                <w:color w:val="FFFFFF"/>
                <w:sz w:val="20"/>
                <w:szCs w:val="20"/>
                <w:lang w:val="en-US"/>
              </w:rPr>
            </w:pPr>
          </w:p>
        </w:tc>
        <w:tc>
          <w:tcPr>
            <w:tcW w:w="1134" w:type="dxa"/>
            <w:vMerge/>
            <w:tcBorders>
              <w:top w:val="double" w:sz="6" w:space="0" w:color="E26B0A"/>
              <w:left w:val="double" w:sz="6" w:space="0" w:color="E26B0A"/>
              <w:bottom w:val="double" w:sz="6" w:space="0" w:color="E26B0A"/>
              <w:right w:val="double" w:sz="6" w:space="0" w:color="E26B0A"/>
            </w:tcBorders>
            <w:vAlign w:val="center"/>
            <w:hideMark/>
          </w:tcPr>
          <w:p w14:paraId="7549AF78" w14:textId="77777777" w:rsidR="00985FAB" w:rsidRPr="00467EA2" w:rsidRDefault="00985FAB" w:rsidP="00467EA2">
            <w:pPr>
              <w:rPr>
                <w:rFonts w:eastAsia="Times New Roman" w:cs="Calibri"/>
                <w:b/>
                <w:bCs/>
                <w:color w:val="FFFFFF"/>
                <w:sz w:val="20"/>
                <w:szCs w:val="20"/>
                <w:lang w:val="en-US"/>
              </w:rPr>
            </w:pPr>
          </w:p>
        </w:tc>
        <w:tc>
          <w:tcPr>
            <w:tcW w:w="992" w:type="dxa"/>
            <w:vMerge/>
            <w:tcBorders>
              <w:top w:val="double" w:sz="6" w:space="0" w:color="E26B0A"/>
              <w:left w:val="double" w:sz="6" w:space="0" w:color="E26B0A"/>
              <w:bottom w:val="double" w:sz="6" w:space="0" w:color="E26B0A"/>
              <w:right w:val="double" w:sz="6" w:space="0" w:color="E26B0A"/>
            </w:tcBorders>
            <w:vAlign w:val="center"/>
            <w:hideMark/>
          </w:tcPr>
          <w:p w14:paraId="26DD8F2C" w14:textId="77777777" w:rsidR="00985FAB" w:rsidRPr="00467EA2" w:rsidRDefault="00985FAB" w:rsidP="00467EA2">
            <w:pPr>
              <w:rPr>
                <w:rFonts w:eastAsia="Times New Roman" w:cs="Calibri"/>
                <w:b/>
                <w:bCs/>
                <w:color w:val="FFFFFF"/>
                <w:sz w:val="20"/>
                <w:szCs w:val="20"/>
                <w:lang w:val="en-US"/>
              </w:rPr>
            </w:pPr>
          </w:p>
        </w:tc>
        <w:tc>
          <w:tcPr>
            <w:tcW w:w="1985" w:type="dxa"/>
            <w:gridSpan w:val="2"/>
            <w:vMerge/>
            <w:tcBorders>
              <w:top w:val="double" w:sz="6" w:space="0" w:color="E26B0A"/>
              <w:left w:val="double" w:sz="6" w:space="0" w:color="E26B0A"/>
              <w:bottom w:val="double" w:sz="6" w:space="0" w:color="E26B0A"/>
              <w:right w:val="double" w:sz="6" w:space="0" w:color="E26B0A"/>
            </w:tcBorders>
            <w:vAlign w:val="center"/>
            <w:hideMark/>
          </w:tcPr>
          <w:p w14:paraId="1CCA5923" w14:textId="77777777" w:rsidR="00985FAB" w:rsidRPr="00467EA2" w:rsidRDefault="00985FAB" w:rsidP="00467EA2">
            <w:pPr>
              <w:rPr>
                <w:rFonts w:eastAsia="Times New Roman" w:cs="Calibri"/>
                <w:b/>
                <w:bCs/>
                <w:color w:val="FFFFFF"/>
                <w:sz w:val="20"/>
                <w:szCs w:val="20"/>
                <w:lang w:val="en-US"/>
              </w:rPr>
            </w:pPr>
          </w:p>
        </w:tc>
      </w:tr>
      <w:tr w:rsidR="00985FAB" w:rsidRPr="00467EA2" w14:paraId="678275A1" w14:textId="77777777" w:rsidTr="001E4B17">
        <w:trPr>
          <w:trHeight w:val="345"/>
        </w:trPr>
        <w:tc>
          <w:tcPr>
            <w:tcW w:w="419" w:type="dxa"/>
            <w:vMerge/>
            <w:tcBorders>
              <w:top w:val="double" w:sz="6" w:space="0" w:color="E26B0A"/>
              <w:left w:val="double" w:sz="6" w:space="0" w:color="E26B0A"/>
              <w:bottom w:val="double" w:sz="6" w:space="0" w:color="E26B0A"/>
              <w:right w:val="double" w:sz="6" w:space="0" w:color="E26B0A"/>
            </w:tcBorders>
            <w:vAlign w:val="center"/>
            <w:hideMark/>
          </w:tcPr>
          <w:p w14:paraId="004E2C18" w14:textId="77777777" w:rsidR="00985FAB" w:rsidRPr="00467EA2" w:rsidRDefault="00985FAB" w:rsidP="00467EA2">
            <w:pPr>
              <w:rPr>
                <w:rFonts w:eastAsia="Times New Roman" w:cs="Calibri"/>
                <w:b/>
                <w:bCs/>
                <w:color w:val="FFFFFF"/>
                <w:sz w:val="20"/>
                <w:szCs w:val="20"/>
                <w:lang w:val="en-US"/>
              </w:rPr>
            </w:pPr>
          </w:p>
        </w:tc>
        <w:tc>
          <w:tcPr>
            <w:tcW w:w="5393" w:type="dxa"/>
            <w:vMerge/>
            <w:tcBorders>
              <w:top w:val="double" w:sz="6" w:space="0" w:color="E26B0A"/>
              <w:left w:val="double" w:sz="6" w:space="0" w:color="E26B0A"/>
              <w:bottom w:val="double" w:sz="6" w:space="0" w:color="E26B0A"/>
              <w:right w:val="double" w:sz="6" w:space="0" w:color="E26B0A"/>
            </w:tcBorders>
            <w:vAlign w:val="center"/>
            <w:hideMark/>
          </w:tcPr>
          <w:p w14:paraId="51FE4666" w14:textId="77777777" w:rsidR="00985FAB" w:rsidRPr="00467EA2" w:rsidRDefault="00985FAB" w:rsidP="00467EA2">
            <w:pPr>
              <w:rPr>
                <w:rFonts w:eastAsia="Times New Roman" w:cs="Calibri"/>
                <w:b/>
                <w:bCs/>
                <w:color w:val="FFFFFF"/>
                <w:sz w:val="20"/>
                <w:szCs w:val="20"/>
                <w:lang w:val="en-US"/>
              </w:rPr>
            </w:pPr>
          </w:p>
        </w:tc>
        <w:tc>
          <w:tcPr>
            <w:tcW w:w="1134" w:type="dxa"/>
            <w:tcBorders>
              <w:top w:val="nil"/>
              <w:left w:val="nil"/>
              <w:bottom w:val="double" w:sz="6" w:space="0" w:color="E26B0A"/>
              <w:right w:val="double" w:sz="6" w:space="0" w:color="E26B0A"/>
            </w:tcBorders>
            <w:shd w:val="clear" w:color="000000" w:fill="E26B0A"/>
            <w:vAlign w:val="center"/>
            <w:hideMark/>
          </w:tcPr>
          <w:p w14:paraId="22DF91F0" w14:textId="77777777" w:rsidR="00985FAB" w:rsidRPr="00467EA2" w:rsidRDefault="00985FAB" w:rsidP="00467EA2">
            <w:pPr>
              <w:jc w:val="center"/>
              <w:rPr>
                <w:rFonts w:eastAsia="Times New Roman" w:cs="Calibri"/>
                <w:b/>
                <w:bCs/>
                <w:color w:val="FFFFFF"/>
                <w:sz w:val="20"/>
                <w:szCs w:val="20"/>
                <w:lang w:val="en-US"/>
              </w:rPr>
            </w:pPr>
            <w:r w:rsidRPr="00467EA2">
              <w:rPr>
                <w:rFonts w:eastAsia="Times New Roman" w:cs="Calibri"/>
                <w:b/>
                <w:bCs/>
                <w:color w:val="FFFFFF"/>
                <w:sz w:val="20"/>
                <w:szCs w:val="20"/>
                <w:lang w:val="en-US"/>
              </w:rPr>
              <w:t xml:space="preserve"> година</w:t>
            </w:r>
          </w:p>
        </w:tc>
        <w:tc>
          <w:tcPr>
            <w:tcW w:w="992" w:type="dxa"/>
            <w:tcBorders>
              <w:top w:val="nil"/>
              <w:left w:val="nil"/>
              <w:bottom w:val="double" w:sz="6" w:space="0" w:color="E26B0A"/>
              <w:right w:val="double" w:sz="6" w:space="0" w:color="E26B0A"/>
            </w:tcBorders>
            <w:shd w:val="clear" w:color="000000" w:fill="E26B0A"/>
            <w:vAlign w:val="center"/>
            <w:hideMark/>
          </w:tcPr>
          <w:p w14:paraId="75EE7A6D" w14:textId="77777777" w:rsidR="00985FAB" w:rsidRPr="00467EA2" w:rsidRDefault="00985FAB" w:rsidP="00467EA2">
            <w:pPr>
              <w:jc w:val="center"/>
              <w:rPr>
                <w:rFonts w:eastAsia="Times New Roman" w:cs="Calibri"/>
                <w:b/>
                <w:bCs/>
                <w:color w:val="FFFFFF"/>
                <w:sz w:val="20"/>
                <w:szCs w:val="20"/>
                <w:lang w:val="en-US"/>
              </w:rPr>
            </w:pPr>
            <w:r w:rsidRPr="00467EA2">
              <w:rPr>
                <w:rFonts w:eastAsia="Times New Roman" w:cs="Calibri"/>
                <w:b/>
                <w:bCs/>
                <w:color w:val="FFFFFF"/>
                <w:sz w:val="20"/>
                <w:szCs w:val="20"/>
                <w:lang w:val="en-US"/>
              </w:rPr>
              <w:t xml:space="preserve"> година</w:t>
            </w:r>
          </w:p>
        </w:tc>
        <w:tc>
          <w:tcPr>
            <w:tcW w:w="993" w:type="dxa"/>
            <w:tcBorders>
              <w:top w:val="nil"/>
              <w:left w:val="nil"/>
              <w:bottom w:val="double" w:sz="6" w:space="0" w:color="E26B0A"/>
              <w:right w:val="double" w:sz="6" w:space="0" w:color="E26B0A"/>
            </w:tcBorders>
            <w:shd w:val="clear" w:color="000000" w:fill="E26B0A"/>
            <w:vAlign w:val="center"/>
            <w:hideMark/>
          </w:tcPr>
          <w:p w14:paraId="58DBAA6C" w14:textId="77777777" w:rsidR="00985FAB" w:rsidRPr="00467EA2" w:rsidRDefault="00985FAB" w:rsidP="00467EA2">
            <w:pPr>
              <w:jc w:val="center"/>
              <w:rPr>
                <w:rFonts w:eastAsia="Times New Roman" w:cs="Calibri"/>
                <w:b/>
                <w:bCs/>
                <w:color w:val="FFFFFF"/>
                <w:sz w:val="20"/>
                <w:szCs w:val="20"/>
                <w:lang w:val="en-US"/>
              </w:rPr>
            </w:pPr>
            <w:r w:rsidRPr="00467EA2">
              <w:rPr>
                <w:rFonts w:eastAsia="Times New Roman" w:cs="Calibri"/>
                <w:b/>
                <w:bCs/>
                <w:color w:val="FFFFFF"/>
                <w:sz w:val="20"/>
                <w:szCs w:val="20"/>
                <w:lang w:val="en-US"/>
              </w:rPr>
              <w:t>стойност</w:t>
            </w:r>
          </w:p>
        </w:tc>
        <w:tc>
          <w:tcPr>
            <w:tcW w:w="992" w:type="dxa"/>
            <w:tcBorders>
              <w:top w:val="nil"/>
              <w:left w:val="nil"/>
              <w:bottom w:val="double" w:sz="6" w:space="0" w:color="E26B0A"/>
              <w:right w:val="double" w:sz="6" w:space="0" w:color="E26B0A"/>
            </w:tcBorders>
            <w:shd w:val="clear" w:color="000000" w:fill="E26B0A"/>
            <w:vAlign w:val="center"/>
            <w:hideMark/>
          </w:tcPr>
          <w:p w14:paraId="7E25D0C4" w14:textId="77777777" w:rsidR="00985FAB" w:rsidRPr="00467EA2" w:rsidRDefault="00985FAB" w:rsidP="00467EA2">
            <w:pPr>
              <w:jc w:val="center"/>
              <w:rPr>
                <w:rFonts w:eastAsia="Times New Roman" w:cs="Calibri"/>
                <w:b/>
                <w:bCs/>
                <w:color w:val="FFFFFF"/>
                <w:sz w:val="20"/>
                <w:szCs w:val="20"/>
                <w:lang w:val="en-US"/>
              </w:rPr>
            </w:pPr>
            <w:r w:rsidRPr="00467EA2">
              <w:rPr>
                <w:rFonts w:eastAsia="Times New Roman" w:cs="Calibri"/>
                <w:b/>
                <w:bCs/>
                <w:color w:val="FFFFFF"/>
                <w:sz w:val="20"/>
                <w:szCs w:val="20"/>
                <w:lang w:val="en-US"/>
              </w:rPr>
              <w:t>процент</w:t>
            </w:r>
          </w:p>
        </w:tc>
      </w:tr>
      <w:tr w:rsidR="00985FAB" w:rsidRPr="00467EA2" w14:paraId="52B3AA79" w14:textId="77777777" w:rsidTr="001E4B17">
        <w:trPr>
          <w:trHeight w:val="336"/>
        </w:trPr>
        <w:tc>
          <w:tcPr>
            <w:tcW w:w="419" w:type="dxa"/>
            <w:tcBorders>
              <w:top w:val="nil"/>
              <w:left w:val="double" w:sz="6" w:space="0" w:color="E26B0A"/>
              <w:bottom w:val="double" w:sz="6" w:space="0" w:color="E26B0A"/>
              <w:right w:val="double" w:sz="6" w:space="0" w:color="E26B0A"/>
            </w:tcBorders>
            <w:shd w:val="clear" w:color="auto" w:fill="auto"/>
            <w:noWrap/>
            <w:vAlign w:val="bottom"/>
            <w:hideMark/>
          </w:tcPr>
          <w:p w14:paraId="12E79A20" w14:textId="77777777" w:rsidR="00985FAB" w:rsidRPr="00467EA2" w:rsidRDefault="00985FAB" w:rsidP="00467EA2">
            <w:pPr>
              <w:jc w:val="center"/>
              <w:rPr>
                <w:rFonts w:eastAsia="Times New Roman" w:cs="Calibri"/>
                <w:sz w:val="20"/>
                <w:szCs w:val="20"/>
                <w:lang w:val="en-US"/>
              </w:rPr>
            </w:pPr>
            <w:r w:rsidRPr="00467EA2">
              <w:rPr>
                <w:rFonts w:eastAsia="Times New Roman" w:cs="Calibri"/>
                <w:sz w:val="20"/>
                <w:szCs w:val="20"/>
                <w:lang w:val="en-US"/>
              </w:rPr>
              <w:t>1</w:t>
            </w:r>
          </w:p>
        </w:tc>
        <w:tc>
          <w:tcPr>
            <w:tcW w:w="5393" w:type="dxa"/>
            <w:tcBorders>
              <w:top w:val="nil"/>
              <w:left w:val="nil"/>
              <w:bottom w:val="double" w:sz="6" w:space="0" w:color="E26B0A"/>
              <w:right w:val="double" w:sz="6" w:space="0" w:color="E26B0A"/>
            </w:tcBorders>
            <w:shd w:val="clear" w:color="auto" w:fill="auto"/>
            <w:noWrap/>
            <w:vAlign w:val="bottom"/>
            <w:hideMark/>
          </w:tcPr>
          <w:p w14:paraId="5A108209" w14:textId="77777777" w:rsidR="00985FAB" w:rsidRPr="00467EA2" w:rsidRDefault="00985FAB" w:rsidP="00467EA2">
            <w:pPr>
              <w:rPr>
                <w:rFonts w:eastAsia="Times New Roman" w:cs="Calibri"/>
                <w:sz w:val="20"/>
                <w:szCs w:val="20"/>
                <w:lang w:val="en-US"/>
              </w:rPr>
            </w:pPr>
            <w:r w:rsidRPr="00467EA2">
              <w:rPr>
                <w:rFonts w:eastAsia="Times New Roman" w:cs="Calibri"/>
                <w:sz w:val="20"/>
                <w:szCs w:val="20"/>
                <w:lang w:val="en-US"/>
              </w:rPr>
              <w:t>Финансов резултат</w:t>
            </w:r>
          </w:p>
        </w:tc>
        <w:tc>
          <w:tcPr>
            <w:tcW w:w="1134" w:type="dxa"/>
            <w:tcBorders>
              <w:top w:val="nil"/>
              <w:left w:val="nil"/>
              <w:bottom w:val="double" w:sz="6" w:space="0" w:color="E26B0A"/>
              <w:right w:val="double" w:sz="6" w:space="0" w:color="E26B0A"/>
            </w:tcBorders>
            <w:shd w:val="clear" w:color="000000" w:fill="FDE9D9"/>
            <w:noWrap/>
            <w:vAlign w:val="bottom"/>
            <w:hideMark/>
          </w:tcPr>
          <w:p w14:paraId="465966E4" w14:textId="77777777" w:rsidR="00985FAB" w:rsidRPr="00467EA2" w:rsidRDefault="00985FAB" w:rsidP="00467EA2">
            <w:pPr>
              <w:jc w:val="right"/>
              <w:rPr>
                <w:rFonts w:eastAsia="Times New Roman" w:cs="Calibri"/>
                <w:sz w:val="20"/>
                <w:szCs w:val="20"/>
                <w:lang w:val="en-US"/>
              </w:rPr>
            </w:pPr>
            <w:r w:rsidRPr="00467EA2">
              <w:rPr>
                <w:rFonts w:eastAsia="Times New Roman" w:cs="Calibri"/>
                <w:sz w:val="20"/>
                <w:szCs w:val="20"/>
                <w:lang w:val="en-US"/>
              </w:rPr>
              <w:t>120</w:t>
            </w:r>
          </w:p>
        </w:tc>
        <w:tc>
          <w:tcPr>
            <w:tcW w:w="992" w:type="dxa"/>
            <w:tcBorders>
              <w:top w:val="nil"/>
              <w:left w:val="nil"/>
              <w:bottom w:val="double" w:sz="6" w:space="0" w:color="E26B0A"/>
              <w:right w:val="double" w:sz="6" w:space="0" w:color="E26B0A"/>
            </w:tcBorders>
            <w:shd w:val="clear" w:color="000000" w:fill="FDE9D9"/>
            <w:noWrap/>
            <w:vAlign w:val="bottom"/>
            <w:hideMark/>
          </w:tcPr>
          <w:p w14:paraId="6ECD0793" w14:textId="77777777" w:rsidR="00985FAB" w:rsidRPr="00467EA2" w:rsidRDefault="00985FAB" w:rsidP="00467EA2">
            <w:pPr>
              <w:jc w:val="right"/>
              <w:rPr>
                <w:rFonts w:eastAsia="Times New Roman" w:cs="Calibri"/>
                <w:sz w:val="20"/>
                <w:szCs w:val="20"/>
                <w:lang w:val="en-US"/>
              </w:rPr>
            </w:pPr>
            <w:r w:rsidRPr="00467EA2">
              <w:rPr>
                <w:rFonts w:eastAsia="Times New Roman" w:cs="Calibri"/>
                <w:sz w:val="20"/>
                <w:szCs w:val="20"/>
                <w:lang w:val="en-US"/>
              </w:rPr>
              <w:t>224</w:t>
            </w:r>
          </w:p>
        </w:tc>
        <w:tc>
          <w:tcPr>
            <w:tcW w:w="993" w:type="dxa"/>
            <w:tcBorders>
              <w:top w:val="nil"/>
              <w:left w:val="nil"/>
              <w:bottom w:val="double" w:sz="6" w:space="0" w:color="E26B0A"/>
              <w:right w:val="double" w:sz="6" w:space="0" w:color="E26B0A"/>
            </w:tcBorders>
            <w:shd w:val="clear" w:color="000000" w:fill="FABF8F"/>
            <w:noWrap/>
            <w:vAlign w:val="bottom"/>
            <w:hideMark/>
          </w:tcPr>
          <w:p w14:paraId="4AA88EEF" w14:textId="77777777" w:rsidR="00985FAB" w:rsidRPr="00467EA2" w:rsidRDefault="00985FAB" w:rsidP="00467EA2">
            <w:pPr>
              <w:jc w:val="right"/>
              <w:rPr>
                <w:rFonts w:eastAsia="Times New Roman" w:cs="Calibri"/>
                <w:sz w:val="20"/>
                <w:szCs w:val="20"/>
                <w:lang w:val="en-US"/>
              </w:rPr>
            </w:pPr>
            <w:r w:rsidRPr="00467EA2">
              <w:rPr>
                <w:rFonts w:eastAsia="Times New Roman" w:cs="Calibri"/>
                <w:sz w:val="20"/>
                <w:szCs w:val="20"/>
                <w:lang w:val="en-US"/>
              </w:rPr>
              <w:t>-104</w:t>
            </w:r>
          </w:p>
        </w:tc>
        <w:tc>
          <w:tcPr>
            <w:tcW w:w="992" w:type="dxa"/>
            <w:tcBorders>
              <w:top w:val="nil"/>
              <w:left w:val="nil"/>
              <w:bottom w:val="double" w:sz="6" w:space="0" w:color="E26B0A"/>
              <w:right w:val="double" w:sz="6" w:space="0" w:color="E26B0A"/>
            </w:tcBorders>
            <w:shd w:val="clear" w:color="000000" w:fill="FABF8F"/>
            <w:noWrap/>
            <w:vAlign w:val="bottom"/>
            <w:hideMark/>
          </w:tcPr>
          <w:p w14:paraId="3F803C78" w14:textId="77777777" w:rsidR="00985FAB" w:rsidRPr="00467EA2" w:rsidRDefault="00985FAB" w:rsidP="00467EA2">
            <w:pPr>
              <w:jc w:val="right"/>
              <w:rPr>
                <w:rFonts w:eastAsia="Times New Roman" w:cs="Calibri"/>
                <w:sz w:val="20"/>
                <w:szCs w:val="20"/>
                <w:lang w:val="en-US"/>
              </w:rPr>
            </w:pPr>
            <w:r w:rsidRPr="00467EA2">
              <w:rPr>
                <w:rFonts w:eastAsia="Times New Roman" w:cs="Calibri"/>
                <w:sz w:val="20"/>
                <w:szCs w:val="20"/>
                <w:lang w:val="en-US"/>
              </w:rPr>
              <w:t>-46,4%</w:t>
            </w:r>
          </w:p>
        </w:tc>
      </w:tr>
      <w:tr w:rsidR="00985FAB" w:rsidRPr="00467EA2" w14:paraId="0A9564F6" w14:textId="77777777" w:rsidTr="001E4B17">
        <w:trPr>
          <w:trHeight w:val="255"/>
        </w:trPr>
        <w:tc>
          <w:tcPr>
            <w:tcW w:w="419" w:type="dxa"/>
            <w:tcBorders>
              <w:top w:val="nil"/>
              <w:left w:val="double" w:sz="6" w:space="0" w:color="E26B0A"/>
              <w:bottom w:val="double" w:sz="6" w:space="0" w:color="E26B0A"/>
              <w:right w:val="double" w:sz="6" w:space="0" w:color="E26B0A"/>
            </w:tcBorders>
            <w:shd w:val="clear" w:color="auto" w:fill="auto"/>
            <w:noWrap/>
            <w:vAlign w:val="bottom"/>
            <w:hideMark/>
          </w:tcPr>
          <w:p w14:paraId="519FC391" w14:textId="77777777" w:rsidR="00985FAB" w:rsidRPr="00467EA2" w:rsidRDefault="00985FAB" w:rsidP="00467EA2">
            <w:pPr>
              <w:jc w:val="center"/>
              <w:rPr>
                <w:rFonts w:eastAsia="Times New Roman" w:cs="Calibri"/>
                <w:sz w:val="20"/>
                <w:szCs w:val="20"/>
                <w:lang w:val="en-US"/>
              </w:rPr>
            </w:pPr>
            <w:r w:rsidRPr="00467EA2">
              <w:rPr>
                <w:rFonts w:eastAsia="Times New Roman" w:cs="Calibri"/>
                <w:sz w:val="20"/>
                <w:szCs w:val="20"/>
                <w:lang w:val="en-US"/>
              </w:rPr>
              <w:t>2</w:t>
            </w:r>
          </w:p>
        </w:tc>
        <w:tc>
          <w:tcPr>
            <w:tcW w:w="5393" w:type="dxa"/>
            <w:tcBorders>
              <w:top w:val="nil"/>
              <w:left w:val="nil"/>
              <w:bottom w:val="double" w:sz="6" w:space="0" w:color="E26B0A"/>
              <w:right w:val="double" w:sz="6" w:space="0" w:color="E26B0A"/>
            </w:tcBorders>
            <w:shd w:val="clear" w:color="auto" w:fill="auto"/>
            <w:noWrap/>
            <w:vAlign w:val="bottom"/>
            <w:hideMark/>
          </w:tcPr>
          <w:p w14:paraId="791E62D2" w14:textId="77777777" w:rsidR="00985FAB" w:rsidRPr="00467EA2" w:rsidRDefault="00985FAB" w:rsidP="00467EA2">
            <w:pPr>
              <w:rPr>
                <w:rFonts w:eastAsia="Times New Roman" w:cs="Calibri"/>
                <w:sz w:val="20"/>
                <w:szCs w:val="20"/>
                <w:lang w:val="en-US"/>
              </w:rPr>
            </w:pPr>
            <w:r w:rsidRPr="00467EA2">
              <w:rPr>
                <w:rFonts w:eastAsia="Times New Roman" w:cs="Calibri"/>
                <w:sz w:val="20"/>
                <w:szCs w:val="20"/>
                <w:lang w:val="en-US"/>
              </w:rPr>
              <w:t>Нетни приходи от продажби</w:t>
            </w:r>
          </w:p>
        </w:tc>
        <w:tc>
          <w:tcPr>
            <w:tcW w:w="1134" w:type="dxa"/>
            <w:tcBorders>
              <w:top w:val="nil"/>
              <w:left w:val="nil"/>
              <w:bottom w:val="double" w:sz="6" w:space="0" w:color="E26B0A"/>
              <w:right w:val="double" w:sz="6" w:space="0" w:color="E26B0A"/>
            </w:tcBorders>
            <w:shd w:val="clear" w:color="000000" w:fill="FDE9D9"/>
            <w:noWrap/>
            <w:vAlign w:val="bottom"/>
            <w:hideMark/>
          </w:tcPr>
          <w:p w14:paraId="1DC207A1" w14:textId="77777777" w:rsidR="00985FAB" w:rsidRPr="00467EA2" w:rsidRDefault="00985FAB" w:rsidP="00467EA2">
            <w:pPr>
              <w:jc w:val="right"/>
              <w:rPr>
                <w:rFonts w:eastAsia="Times New Roman" w:cs="Calibri"/>
                <w:sz w:val="20"/>
                <w:szCs w:val="20"/>
                <w:lang w:val="en-US"/>
              </w:rPr>
            </w:pPr>
            <w:r w:rsidRPr="00467EA2">
              <w:rPr>
                <w:rFonts w:eastAsia="Times New Roman" w:cs="Calibri"/>
                <w:sz w:val="20"/>
                <w:szCs w:val="20"/>
                <w:lang w:val="en-US"/>
              </w:rPr>
              <w:t>2 300</w:t>
            </w:r>
          </w:p>
        </w:tc>
        <w:tc>
          <w:tcPr>
            <w:tcW w:w="992" w:type="dxa"/>
            <w:tcBorders>
              <w:top w:val="nil"/>
              <w:left w:val="nil"/>
              <w:bottom w:val="double" w:sz="6" w:space="0" w:color="E26B0A"/>
              <w:right w:val="double" w:sz="6" w:space="0" w:color="E26B0A"/>
            </w:tcBorders>
            <w:shd w:val="clear" w:color="000000" w:fill="FDE9D9"/>
            <w:noWrap/>
            <w:vAlign w:val="bottom"/>
            <w:hideMark/>
          </w:tcPr>
          <w:p w14:paraId="37AB7059" w14:textId="77777777" w:rsidR="00985FAB" w:rsidRPr="00467EA2" w:rsidRDefault="00985FAB" w:rsidP="00467EA2">
            <w:pPr>
              <w:jc w:val="right"/>
              <w:rPr>
                <w:rFonts w:eastAsia="Times New Roman" w:cs="Calibri"/>
                <w:sz w:val="20"/>
                <w:szCs w:val="20"/>
                <w:lang w:val="en-US"/>
              </w:rPr>
            </w:pPr>
            <w:r w:rsidRPr="00467EA2">
              <w:rPr>
                <w:rFonts w:eastAsia="Times New Roman" w:cs="Calibri"/>
                <w:sz w:val="20"/>
                <w:szCs w:val="20"/>
                <w:lang w:val="en-US"/>
              </w:rPr>
              <w:t>2 233</w:t>
            </w:r>
          </w:p>
        </w:tc>
        <w:tc>
          <w:tcPr>
            <w:tcW w:w="993" w:type="dxa"/>
            <w:tcBorders>
              <w:top w:val="nil"/>
              <w:left w:val="nil"/>
              <w:bottom w:val="double" w:sz="6" w:space="0" w:color="E26B0A"/>
              <w:right w:val="double" w:sz="6" w:space="0" w:color="E26B0A"/>
            </w:tcBorders>
            <w:shd w:val="clear" w:color="000000" w:fill="FABF8F"/>
            <w:noWrap/>
            <w:vAlign w:val="bottom"/>
            <w:hideMark/>
          </w:tcPr>
          <w:p w14:paraId="4701DD66" w14:textId="77777777" w:rsidR="00985FAB" w:rsidRPr="00467EA2" w:rsidRDefault="00985FAB" w:rsidP="00467EA2">
            <w:pPr>
              <w:jc w:val="right"/>
              <w:rPr>
                <w:rFonts w:eastAsia="Times New Roman" w:cs="Calibri"/>
                <w:sz w:val="20"/>
                <w:szCs w:val="20"/>
                <w:lang w:val="en-US"/>
              </w:rPr>
            </w:pPr>
            <w:r w:rsidRPr="00467EA2">
              <w:rPr>
                <w:rFonts w:eastAsia="Times New Roman" w:cs="Calibri"/>
                <w:sz w:val="20"/>
                <w:szCs w:val="20"/>
                <w:lang w:val="en-US"/>
              </w:rPr>
              <w:t>67</w:t>
            </w:r>
          </w:p>
        </w:tc>
        <w:tc>
          <w:tcPr>
            <w:tcW w:w="992" w:type="dxa"/>
            <w:tcBorders>
              <w:top w:val="nil"/>
              <w:left w:val="nil"/>
              <w:bottom w:val="double" w:sz="6" w:space="0" w:color="E26B0A"/>
              <w:right w:val="double" w:sz="6" w:space="0" w:color="E26B0A"/>
            </w:tcBorders>
            <w:shd w:val="clear" w:color="000000" w:fill="FABF8F"/>
            <w:noWrap/>
            <w:vAlign w:val="bottom"/>
            <w:hideMark/>
          </w:tcPr>
          <w:p w14:paraId="2D976E71" w14:textId="77777777" w:rsidR="00985FAB" w:rsidRPr="00467EA2" w:rsidRDefault="00985FAB" w:rsidP="00467EA2">
            <w:pPr>
              <w:jc w:val="right"/>
              <w:rPr>
                <w:rFonts w:eastAsia="Times New Roman" w:cs="Calibri"/>
                <w:sz w:val="20"/>
                <w:szCs w:val="20"/>
                <w:lang w:val="en-US"/>
              </w:rPr>
            </w:pPr>
            <w:r w:rsidRPr="00467EA2">
              <w:rPr>
                <w:rFonts w:eastAsia="Times New Roman" w:cs="Calibri"/>
                <w:sz w:val="20"/>
                <w:szCs w:val="20"/>
                <w:lang w:val="en-US"/>
              </w:rPr>
              <w:t>3,0%</w:t>
            </w:r>
          </w:p>
        </w:tc>
      </w:tr>
      <w:tr w:rsidR="00985FAB" w:rsidRPr="00467EA2" w14:paraId="42F2BCF9" w14:textId="77777777" w:rsidTr="001E4B17">
        <w:trPr>
          <w:trHeight w:val="300"/>
        </w:trPr>
        <w:tc>
          <w:tcPr>
            <w:tcW w:w="419" w:type="dxa"/>
            <w:tcBorders>
              <w:top w:val="nil"/>
              <w:left w:val="double" w:sz="6" w:space="0" w:color="E26B0A"/>
              <w:bottom w:val="double" w:sz="6" w:space="0" w:color="E26B0A"/>
              <w:right w:val="double" w:sz="6" w:space="0" w:color="E26B0A"/>
            </w:tcBorders>
            <w:shd w:val="clear" w:color="auto" w:fill="auto"/>
            <w:noWrap/>
            <w:vAlign w:val="bottom"/>
            <w:hideMark/>
          </w:tcPr>
          <w:p w14:paraId="204EE5F8" w14:textId="77777777" w:rsidR="00985FAB" w:rsidRPr="00467EA2" w:rsidRDefault="00985FAB" w:rsidP="00985FAB">
            <w:pPr>
              <w:jc w:val="center"/>
              <w:rPr>
                <w:rFonts w:eastAsia="Times New Roman" w:cs="Calibri"/>
                <w:sz w:val="20"/>
                <w:szCs w:val="20"/>
                <w:lang w:val="en-US"/>
              </w:rPr>
            </w:pPr>
            <w:r w:rsidRPr="00467EA2">
              <w:rPr>
                <w:rFonts w:eastAsia="Times New Roman" w:cs="Calibri"/>
                <w:sz w:val="20"/>
                <w:szCs w:val="20"/>
                <w:lang w:val="en-US"/>
              </w:rPr>
              <w:t>3</w:t>
            </w:r>
          </w:p>
        </w:tc>
        <w:tc>
          <w:tcPr>
            <w:tcW w:w="5393" w:type="dxa"/>
            <w:tcBorders>
              <w:top w:val="nil"/>
              <w:left w:val="nil"/>
              <w:bottom w:val="double" w:sz="6" w:space="0" w:color="E26B0A"/>
              <w:right w:val="double" w:sz="6" w:space="0" w:color="E26B0A"/>
            </w:tcBorders>
            <w:shd w:val="clear" w:color="auto" w:fill="auto"/>
            <w:noWrap/>
            <w:vAlign w:val="bottom"/>
            <w:hideMark/>
          </w:tcPr>
          <w:p w14:paraId="0DD92234" w14:textId="77777777" w:rsidR="00985FAB" w:rsidRPr="00467EA2" w:rsidRDefault="00985FAB" w:rsidP="00985FAB">
            <w:pPr>
              <w:rPr>
                <w:rFonts w:eastAsia="Times New Roman" w:cs="Calibri"/>
                <w:sz w:val="20"/>
                <w:szCs w:val="20"/>
                <w:lang w:val="en-US"/>
              </w:rPr>
            </w:pPr>
            <w:r w:rsidRPr="00467EA2">
              <w:rPr>
                <w:rFonts w:eastAsia="Times New Roman" w:cs="Calibri"/>
                <w:sz w:val="20"/>
                <w:szCs w:val="20"/>
                <w:lang w:val="en-US"/>
              </w:rPr>
              <w:t>Общо приходи от оперативна дейност</w:t>
            </w:r>
          </w:p>
        </w:tc>
        <w:tc>
          <w:tcPr>
            <w:tcW w:w="1134" w:type="dxa"/>
            <w:tcBorders>
              <w:top w:val="nil"/>
              <w:left w:val="nil"/>
              <w:bottom w:val="double" w:sz="6" w:space="0" w:color="E26B0A"/>
              <w:right w:val="double" w:sz="6" w:space="0" w:color="E26B0A"/>
            </w:tcBorders>
            <w:shd w:val="clear" w:color="000000" w:fill="FDE9D9"/>
            <w:noWrap/>
            <w:vAlign w:val="bottom"/>
            <w:hideMark/>
          </w:tcPr>
          <w:p w14:paraId="5E01E6D3" w14:textId="77777777" w:rsidR="00985FAB" w:rsidRPr="00467EA2" w:rsidRDefault="00985FAB" w:rsidP="00985FAB">
            <w:pPr>
              <w:jc w:val="right"/>
              <w:rPr>
                <w:rFonts w:eastAsia="Times New Roman" w:cs="Calibri"/>
                <w:sz w:val="20"/>
                <w:szCs w:val="20"/>
                <w:lang w:val="en-US"/>
              </w:rPr>
            </w:pPr>
            <w:r w:rsidRPr="00467EA2">
              <w:rPr>
                <w:rFonts w:eastAsia="Times New Roman" w:cs="Calibri"/>
                <w:sz w:val="20"/>
                <w:szCs w:val="20"/>
                <w:lang w:val="en-US"/>
              </w:rPr>
              <w:t>2 360</w:t>
            </w:r>
          </w:p>
        </w:tc>
        <w:tc>
          <w:tcPr>
            <w:tcW w:w="992" w:type="dxa"/>
            <w:tcBorders>
              <w:top w:val="nil"/>
              <w:left w:val="nil"/>
              <w:bottom w:val="double" w:sz="6" w:space="0" w:color="E26B0A"/>
              <w:right w:val="double" w:sz="6" w:space="0" w:color="E26B0A"/>
            </w:tcBorders>
            <w:shd w:val="clear" w:color="000000" w:fill="FDE9D9"/>
            <w:noWrap/>
            <w:vAlign w:val="bottom"/>
            <w:hideMark/>
          </w:tcPr>
          <w:p w14:paraId="0A0126DD" w14:textId="77777777" w:rsidR="00985FAB" w:rsidRPr="00467EA2" w:rsidRDefault="00985FAB" w:rsidP="00985FAB">
            <w:pPr>
              <w:jc w:val="right"/>
              <w:rPr>
                <w:rFonts w:eastAsia="Times New Roman" w:cs="Calibri"/>
                <w:sz w:val="20"/>
                <w:szCs w:val="20"/>
                <w:lang w:val="en-US"/>
              </w:rPr>
            </w:pPr>
            <w:r w:rsidRPr="00467EA2">
              <w:rPr>
                <w:rFonts w:eastAsia="Times New Roman" w:cs="Calibri"/>
                <w:sz w:val="20"/>
                <w:szCs w:val="20"/>
                <w:lang w:val="en-US"/>
              </w:rPr>
              <w:t>2 292</w:t>
            </w:r>
          </w:p>
        </w:tc>
        <w:tc>
          <w:tcPr>
            <w:tcW w:w="993" w:type="dxa"/>
            <w:tcBorders>
              <w:top w:val="nil"/>
              <w:left w:val="nil"/>
              <w:bottom w:val="double" w:sz="6" w:space="0" w:color="E26B0A"/>
              <w:right w:val="double" w:sz="6" w:space="0" w:color="E26B0A"/>
            </w:tcBorders>
            <w:shd w:val="clear" w:color="000000" w:fill="FABF8F"/>
            <w:noWrap/>
            <w:vAlign w:val="bottom"/>
            <w:hideMark/>
          </w:tcPr>
          <w:p w14:paraId="693CA993" w14:textId="77777777" w:rsidR="00985FAB" w:rsidRPr="00467EA2" w:rsidRDefault="00985FAB" w:rsidP="00985FAB">
            <w:pPr>
              <w:jc w:val="right"/>
              <w:rPr>
                <w:rFonts w:eastAsia="Times New Roman" w:cs="Calibri"/>
                <w:sz w:val="20"/>
                <w:szCs w:val="20"/>
                <w:lang w:val="en-US"/>
              </w:rPr>
            </w:pPr>
            <w:r w:rsidRPr="00467EA2">
              <w:rPr>
                <w:rFonts w:eastAsia="Times New Roman" w:cs="Calibri"/>
                <w:sz w:val="20"/>
                <w:szCs w:val="20"/>
                <w:lang w:val="en-US"/>
              </w:rPr>
              <w:t>68</w:t>
            </w:r>
          </w:p>
        </w:tc>
        <w:tc>
          <w:tcPr>
            <w:tcW w:w="992" w:type="dxa"/>
            <w:tcBorders>
              <w:top w:val="nil"/>
              <w:left w:val="nil"/>
              <w:bottom w:val="double" w:sz="6" w:space="0" w:color="E26B0A"/>
              <w:right w:val="double" w:sz="6" w:space="0" w:color="E26B0A"/>
            </w:tcBorders>
            <w:shd w:val="clear" w:color="000000" w:fill="FABF8F"/>
            <w:noWrap/>
            <w:vAlign w:val="bottom"/>
            <w:hideMark/>
          </w:tcPr>
          <w:p w14:paraId="57425C92" w14:textId="77777777" w:rsidR="00985FAB" w:rsidRPr="00467EA2" w:rsidRDefault="00985FAB" w:rsidP="00985FAB">
            <w:pPr>
              <w:jc w:val="right"/>
              <w:rPr>
                <w:rFonts w:eastAsia="Times New Roman" w:cs="Calibri"/>
                <w:sz w:val="20"/>
                <w:szCs w:val="20"/>
                <w:lang w:val="en-US"/>
              </w:rPr>
            </w:pPr>
            <w:r w:rsidRPr="00467EA2">
              <w:rPr>
                <w:rFonts w:eastAsia="Times New Roman" w:cs="Calibri"/>
                <w:sz w:val="20"/>
                <w:szCs w:val="20"/>
                <w:lang w:val="en-US"/>
              </w:rPr>
              <w:t>3,0%</w:t>
            </w:r>
          </w:p>
        </w:tc>
      </w:tr>
      <w:tr w:rsidR="00985FAB" w:rsidRPr="00467EA2" w14:paraId="071BAA87" w14:textId="77777777" w:rsidTr="001E4B17">
        <w:trPr>
          <w:trHeight w:val="300"/>
        </w:trPr>
        <w:tc>
          <w:tcPr>
            <w:tcW w:w="419" w:type="dxa"/>
            <w:tcBorders>
              <w:top w:val="nil"/>
              <w:left w:val="double" w:sz="6" w:space="0" w:color="E26B0A"/>
              <w:bottom w:val="double" w:sz="6" w:space="0" w:color="E26B0A"/>
              <w:right w:val="double" w:sz="6" w:space="0" w:color="E26B0A"/>
            </w:tcBorders>
            <w:shd w:val="clear" w:color="auto" w:fill="auto"/>
            <w:noWrap/>
            <w:vAlign w:val="bottom"/>
            <w:hideMark/>
          </w:tcPr>
          <w:p w14:paraId="7548673C" w14:textId="77777777" w:rsidR="00985FAB" w:rsidRPr="00467EA2" w:rsidRDefault="00985FAB" w:rsidP="00985FAB">
            <w:pPr>
              <w:jc w:val="center"/>
              <w:rPr>
                <w:rFonts w:eastAsia="Times New Roman" w:cs="Calibri"/>
                <w:sz w:val="20"/>
                <w:szCs w:val="20"/>
                <w:lang w:val="en-US"/>
              </w:rPr>
            </w:pPr>
            <w:r w:rsidRPr="00467EA2">
              <w:rPr>
                <w:rFonts w:eastAsia="Times New Roman" w:cs="Calibri"/>
                <w:sz w:val="20"/>
                <w:szCs w:val="20"/>
                <w:lang w:val="en-US"/>
              </w:rPr>
              <w:t>4</w:t>
            </w:r>
          </w:p>
        </w:tc>
        <w:tc>
          <w:tcPr>
            <w:tcW w:w="5393" w:type="dxa"/>
            <w:tcBorders>
              <w:top w:val="nil"/>
              <w:left w:val="nil"/>
              <w:bottom w:val="double" w:sz="6" w:space="0" w:color="E26B0A"/>
              <w:right w:val="double" w:sz="6" w:space="0" w:color="E26B0A"/>
            </w:tcBorders>
            <w:shd w:val="clear" w:color="auto" w:fill="auto"/>
            <w:noWrap/>
            <w:vAlign w:val="bottom"/>
            <w:hideMark/>
          </w:tcPr>
          <w:p w14:paraId="75AD4D46" w14:textId="77777777" w:rsidR="00985FAB" w:rsidRPr="00467EA2" w:rsidRDefault="00985FAB" w:rsidP="00985FAB">
            <w:pPr>
              <w:rPr>
                <w:rFonts w:eastAsia="Times New Roman" w:cs="Calibri"/>
                <w:sz w:val="20"/>
                <w:szCs w:val="20"/>
                <w:lang w:val="en-US"/>
              </w:rPr>
            </w:pPr>
            <w:r w:rsidRPr="00467EA2">
              <w:rPr>
                <w:rFonts w:eastAsia="Times New Roman" w:cs="Calibri"/>
                <w:sz w:val="20"/>
                <w:szCs w:val="20"/>
                <w:lang w:val="en-US"/>
              </w:rPr>
              <w:t>Общо приходи</w:t>
            </w:r>
          </w:p>
        </w:tc>
        <w:tc>
          <w:tcPr>
            <w:tcW w:w="1134" w:type="dxa"/>
            <w:tcBorders>
              <w:top w:val="nil"/>
              <w:left w:val="nil"/>
              <w:bottom w:val="double" w:sz="6" w:space="0" w:color="E26B0A"/>
              <w:right w:val="double" w:sz="6" w:space="0" w:color="E26B0A"/>
            </w:tcBorders>
            <w:shd w:val="clear" w:color="000000" w:fill="FDE9D9"/>
            <w:noWrap/>
            <w:vAlign w:val="bottom"/>
            <w:hideMark/>
          </w:tcPr>
          <w:p w14:paraId="147A669A" w14:textId="77777777" w:rsidR="00985FAB" w:rsidRPr="00467EA2" w:rsidRDefault="00985FAB" w:rsidP="00985FAB">
            <w:pPr>
              <w:jc w:val="right"/>
              <w:rPr>
                <w:rFonts w:eastAsia="Times New Roman" w:cs="Calibri"/>
                <w:sz w:val="20"/>
                <w:szCs w:val="20"/>
                <w:lang w:val="en-US"/>
              </w:rPr>
            </w:pPr>
            <w:r w:rsidRPr="00467EA2">
              <w:rPr>
                <w:rFonts w:eastAsia="Times New Roman" w:cs="Calibri"/>
                <w:sz w:val="20"/>
                <w:szCs w:val="20"/>
                <w:lang w:val="en-US"/>
              </w:rPr>
              <w:t>2 360</w:t>
            </w:r>
          </w:p>
        </w:tc>
        <w:tc>
          <w:tcPr>
            <w:tcW w:w="992" w:type="dxa"/>
            <w:tcBorders>
              <w:top w:val="nil"/>
              <w:left w:val="nil"/>
              <w:bottom w:val="double" w:sz="6" w:space="0" w:color="E26B0A"/>
              <w:right w:val="double" w:sz="6" w:space="0" w:color="E26B0A"/>
            </w:tcBorders>
            <w:shd w:val="clear" w:color="000000" w:fill="FDE9D9"/>
            <w:noWrap/>
            <w:vAlign w:val="bottom"/>
            <w:hideMark/>
          </w:tcPr>
          <w:p w14:paraId="36BED246" w14:textId="77777777" w:rsidR="00985FAB" w:rsidRPr="00467EA2" w:rsidRDefault="00985FAB" w:rsidP="00985FAB">
            <w:pPr>
              <w:jc w:val="right"/>
              <w:rPr>
                <w:rFonts w:eastAsia="Times New Roman" w:cs="Calibri"/>
                <w:sz w:val="20"/>
                <w:szCs w:val="20"/>
                <w:lang w:val="en-US"/>
              </w:rPr>
            </w:pPr>
            <w:r w:rsidRPr="00467EA2">
              <w:rPr>
                <w:rFonts w:eastAsia="Times New Roman" w:cs="Calibri"/>
                <w:sz w:val="20"/>
                <w:szCs w:val="20"/>
                <w:lang w:val="en-US"/>
              </w:rPr>
              <w:t>2 292</w:t>
            </w:r>
          </w:p>
        </w:tc>
        <w:tc>
          <w:tcPr>
            <w:tcW w:w="993" w:type="dxa"/>
            <w:tcBorders>
              <w:top w:val="nil"/>
              <w:left w:val="nil"/>
              <w:bottom w:val="double" w:sz="6" w:space="0" w:color="E26B0A"/>
              <w:right w:val="double" w:sz="6" w:space="0" w:color="E26B0A"/>
            </w:tcBorders>
            <w:shd w:val="clear" w:color="000000" w:fill="FABF8F"/>
            <w:noWrap/>
            <w:vAlign w:val="bottom"/>
            <w:hideMark/>
          </w:tcPr>
          <w:p w14:paraId="5195A756" w14:textId="77777777" w:rsidR="00985FAB" w:rsidRPr="00467EA2" w:rsidRDefault="00985FAB" w:rsidP="00985FAB">
            <w:pPr>
              <w:jc w:val="right"/>
              <w:rPr>
                <w:rFonts w:eastAsia="Times New Roman" w:cs="Calibri"/>
                <w:sz w:val="20"/>
                <w:szCs w:val="20"/>
                <w:lang w:val="en-US"/>
              </w:rPr>
            </w:pPr>
            <w:r w:rsidRPr="00467EA2">
              <w:rPr>
                <w:rFonts w:eastAsia="Times New Roman" w:cs="Calibri"/>
                <w:sz w:val="20"/>
                <w:szCs w:val="20"/>
                <w:lang w:val="en-US"/>
              </w:rPr>
              <w:t>68</w:t>
            </w:r>
          </w:p>
        </w:tc>
        <w:tc>
          <w:tcPr>
            <w:tcW w:w="992" w:type="dxa"/>
            <w:tcBorders>
              <w:top w:val="nil"/>
              <w:left w:val="nil"/>
              <w:bottom w:val="double" w:sz="6" w:space="0" w:color="E26B0A"/>
              <w:right w:val="double" w:sz="6" w:space="0" w:color="E26B0A"/>
            </w:tcBorders>
            <w:shd w:val="clear" w:color="000000" w:fill="FABF8F"/>
            <w:noWrap/>
            <w:vAlign w:val="bottom"/>
            <w:hideMark/>
          </w:tcPr>
          <w:p w14:paraId="75417B43" w14:textId="77777777" w:rsidR="00985FAB" w:rsidRPr="00467EA2" w:rsidRDefault="00985FAB" w:rsidP="00985FAB">
            <w:pPr>
              <w:jc w:val="right"/>
              <w:rPr>
                <w:rFonts w:eastAsia="Times New Roman" w:cs="Calibri"/>
                <w:sz w:val="20"/>
                <w:szCs w:val="20"/>
                <w:lang w:val="en-US"/>
              </w:rPr>
            </w:pPr>
            <w:r w:rsidRPr="00467EA2">
              <w:rPr>
                <w:rFonts w:eastAsia="Times New Roman" w:cs="Calibri"/>
                <w:sz w:val="20"/>
                <w:szCs w:val="20"/>
                <w:lang w:val="en-US"/>
              </w:rPr>
              <w:t>3,0%</w:t>
            </w:r>
          </w:p>
        </w:tc>
      </w:tr>
      <w:tr w:rsidR="00985FAB" w:rsidRPr="00467EA2" w14:paraId="08DD648B" w14:textId="77777777" w:rsidTr="001E4B17">
        <w:trPr>
          <w:trHeight w:val="300"/>
        </w:trPr>
        <w:tc>
          <w:tcPr>
            <w:tcW w:w="419" w:type="dxa"/>
            <w:tcBorders>
              <w:top w:val="nil"/>
              <w:left w:val="double" w:sz="6" w:space="0" w:color="E26B0A"/>
              <w:bottom w:val="double" w:sz="6" w:space="0" w:color="E26B0A"/>
              <w:right w:val="double" w:sz="6" w:space="0" w:color="E26B0A"/>
            </w:tcBorders>
            <w:shd w:val="clear" w:color="auto" w:fill="auto"/>
            <w:noWrap/>
            <w:vAlign w:val="bottom"/>
            <w:hideMark/>
          </w:tcPr>
          <w:p w14:paraId="4B699FBC" w14:textId="77777777" w:rsidR="00985FAB" w:rsidRPr="00467EA2" w:rsidRDefault="00985FAB" w:rsidP="00985FAB">
            <w:pPr>
              <w:jc w:val="center"/>
              <w:rPr>
                <w:rFonts w:eastAsia="Times New Roman" w:cs="Calibri"/>
                <w:sz w:val="20"/>
                <w:szCs w:val="20"/>
                <w:lang w:val="en-US"/>
              </w:rPr>
            </w:pPr>
            <w:r w:rsidRPr="00467EA2">
              <w:rPr>
                <w:rFonts w:eastAsia="Times New Roman" w:cs="Calibri"/>
                <w:sz w:val="20"/>
                <w:szCs w:val="20"/>
                <w:lang w:val="en-US"/>
              </w:rPr>
              <w:t>5</w:t>
            </w:r>
          </w:p>
        </w:tc>
        <w:tc>
          <w:tcPr>
            <w:tcW w:w="5393" w:type="dxa"/>
            <w:tcBorders>
              <w:top w:val="nil"/>
              <w:left w:val="nil"/>
              <w:bottom w:val="double" w:sz="6" w:space="0" w:color="E26B0A"/>
              <w:right w:val="double" w:sz="6" w:space="0" w:color="E26B0A"/>
            </w:tcBorders>
            <w:shd w:val="clear" w:color="auto" w:fill="auto"/>
            <w:noWrap/>
            <w:vAlign w:val="bottom"/>
            <w:hideMark/>
          </w:tcPr>
          <w:p w14:paraId="2E21CCF5" w14:textId="77777777" w:rsidR="00985FAB" w:rsidRPr="00467EA2" w:rsidRDefault="00985FAB" w:rsidP="00985FAB">
            <w:pPr>
              <w:rPr>
                <w:rFonts w:eastAsia="Times New Roman" w:cs="Calibri"/>
                <w:sz w:val="20"/>
                <w:szCs w:val="20"/>
                <w:lang w:val="en-US"/>
              </w:rPr>
            </w:pPr>
            <w:r w:rsidRPr="00467EA2">
              <w:rPr>
                <w:rFonts w:eastAsia="Times New Roman" w:cs="Calibri"/>
                <w:sz w:val="20"/>
                <w:szCs w:val="20"/>
                <w:lang w:val="en-US"/>
              </w:rPr>
              <w:t>Общо разходи за оперативна дейност</w:t>
            </w:r>
          </w:p>
        </w:tc>
        <w:tc>
          <w:tcPr>
            <w:tcW w:w="1134" w:type="dxa"/>
            <w:tcBorders>
              <w:top w:val="nil"/>
              <w:left w:val="nil"/>
              <w:bottom w:val="double" w:sz="6" w:space="0" w:color="E26B0A"/>
              <w:right w:val="double" w:sz="6" w:space="0" w:color="E26B0A"/>
            </w:tcBorders>
            <w:shd w:val="clear" w:color="000000" w:fill="FDE9D9"/>
            <w:noWrap/>
            <w:vAlign w:val="bottom"/>
            <w:hideMark/>
          </w:tcPr>
          <w:p w14:paraId="61C0AECA" w14:textId="77777777" w:rsidR="00985FAB" w:rsidRPr="00467EA2" w:rsidRDefault="00985FAB" w:rsidP="00985FAB">
            <w:pPr>
              <w:jc w:val="right"/>
              <w:rPr>
                <w:rFonts w:eastAsia="Times New Roman" w:cs="Calibri"/>
                <w:sz w:val="20"/>
                <w:szCs w:val="20"/>
                <w:lang w:val="en-US"/>
              </w:rPr>
            </w:pPr>
            <w:r w:rsidRPr="00467EA2">
              <w:rPr>
                <w:rFonts w:eastAsia="Times New Roman" w:cs="Calibri"/>
                <w:sz w:val="20"/>
                <w:szCs w:val="20"/>
                <w:lang w:val="en-US"/>
              </w:rPr>
              <w:t>2 200</w:t>
            </w:r>
          </w:p>
        </w:tc>
        <w:tc>
          <w:tcPr>
            <w:tcW w:w="992" w:type="dxa"/>
            <w:tcBorders>
              <w:top w:val="nil"/>
              <w:left w:val="nil"/>
              <w:bottom w:val="double" w:sz="6" w:space="0" w:color="E26B0A"/>
              <w:right w:val="double" w:sz="6" w:space="0" w:color="E26B0A"/>
            </w:tcBorders>
            <w:shd w:val="clear" w:color="000000" w:fill="FDE9D9"/>
            <w:noWrap/>
            <w:vAlign w:val="bottom"/>
            <w:hideMark/>
          </w:tcPr>
          <w:p w14:paraId="37FE68C7" w14:textId="77777777" w:rsidR="00985FAB" w:rsidRPr="00467EA2" w:rsidRDefault="00985FAB" w:rsidP="00985FAB">
            <w:pPr>
              <w:jc w:val="right"/>
              <w:rPr>
                <w:rFonts w:eastAsia="Times New Roman" w:cs="Calibri"/>
                <w:sz w:val="20"/>
                <w:szCs w:val="20"/>
                <w:lang w:val="en-US"/>
              </w:rPr>
            </w:pPr>
            <w:r w:rsidRPr="00467EA2">
              <w:rPr>
                <w:rFonts w:eastAsia="Times New Roman" w:cs="Calibri"/>
                <w:sz w:val="20"/>
                <w:szCs w:val="20"/>
                <w:lang w:val="en-US"/>
              </w:rPr>
              <w:t>2 037</w:t>
            </w:r>
          </w:p>
        </w:tc>
        <w:tc>
          <w:tcPr>
            <w:tcW w:w="993" w:type="dxa"/>
            <w:tcBorders>
              <w:top w:val="nil"/>
              <w:left w:val="nil"/>
              <w:bottom w:val="double" w:sz="6" w:space="0" w:color="E26B0A"/>
              <w:right w:val="double" w:sz="6" w:space="0" w:color="E26B0A"/>
            </w:tcBorders>
            <w:shd w:val="clear" w:color="000000" w:fill="FABF8F"/>
            <w:noWrap/>
            <w:vAlign w:val="bottom"/>
            <w:hideMark/>
          </w:tcPr>
          <w:p w14:paraId="36067BA0" w14:textId="77777777" w:rsidR="00985FAB" w:rsidRPr="00467EA2" w:rsidRDefault="00985FAB" w:rsidP="00985FAB">
            <w:pPr>
              <w:jc w:val="right"/>
              <w:rPr>
                <w:rFonts w:eastAsia="Times New Roman" w:cs="Calibri"/>
                <w:sz w:val="20"/>
                <w:szCs w:val="20"/>
                <w:lang w:val="en-US"/>
              </w:rPr>
            </w:pPr>
            <w:r w:rsidRPr="00467EA2">
              <w:rPr>
                <w:rFonts w:eastAsia="Times New Roman" w:cs="Calibri"/>
                <w:sz w:val="20"/>
                <w:szCs w:val="20"/>
                <w:lang w:val="en-US"/>
              </w:rPr>
              <w:t>163</w:t>
            </w:r>
          </w:p>
        </w:tc>
        <w:tc>
          <w:tcPr>
            <w:tcW w:w="992" w:type="dxa"/>
            <w:tcBorders>
              <w:top w:val="nil"/>
              <w:left w:val="nil"/>
              <w:bottom w:val="double" w:sz="6" w:space="0" w:color="E26B0A"/>
              <w:right w:val="double" w:sz="6" w:space="0" w:color="E26B0A"/>
            </w:tcBorders>
            <w:shd w:val="clear" w:color="000000" w:fill="FABF8F"/>
            <w:noWrap/>
            <w:vAlign w:val="bottom"/>
            <w:hideMark/>
          </w:tcPr>
          <w:p w14:paraId="31C18118" w14:textId="77777777" w:rsidR="00985FAB" w:rsidRPr="00467EA2" w:rsidRDefault="00985FAB" w:rsidP="00985FAB">
            <w:pPr>
              <w:jc w:val="right"/>
              <w:rPr>
                <w:rFonts w:eastAsia="Times New Roman" w:cs="Calibri"/>
                <w:sz w:val="20"/>
                <w:szCs w:val="20"/>
                <w:lang w:val="en-US"/>
              </w:rPr>
            </w:pPr>
            <w:r w:rsidRPr="00467EA2">
              <w:rPr>
                <w:rFonts w:eastAsia="Times New Roman" w:cs="Calibri"/>
                <w:sz w:val="20"/>
                <w:szCs w:val="20"/>
                <w:lang w:val="en-US"/>
              </w:rPr>
              <w:t>8,0%</w:t>
            </w:r>
          </w:p>
        </w:tc>
      </w:tr>
      <w:tr w:rsidR="00985FAB" w:rsidRPr="00467EA2" w14:paraId="7A979D82" w14:textId="77777777" w:rsidTr="001E4B17">
        <w:trPr>
          <w:trHeight w:val="300"/>
        </w:trPr>
        <w:tc>
          <w:tcPr>
            <w:tcW w:w="419" w:type="dxa"/>
            <w:tcBorders>
              <w:top w:val="nil"/>
              <w:left w:val="double" w:sz="6" w:space="0" w:color="E26B0A"/>
              <w:bottom w:val="double" w:sz="6" w:space="0" w:color="E26B0A"/>
              <w:right w:val="double" w:sz="6" w:space="0" w:color="E26B0A"/>
            </w:tcBorders>
            <w:shd w:val="clear" w:color="auto" w:fill="auto"/>
            <w:noWrap/>
            <w:vAlign w:val="bottom"/>
            <w:hideMark/>
          </w:tcPr>
          <w:p w14:paraId="3066ED5B" w14:textId="77777777" w:rsidR="00985FAB" w:rsidRPr="00467EA2" w:rsidRDefault="00985FAB" w:rsidP="00985FAB">
            <w:pPr>
              <w:jc w:val="center"/>
              <w:rPr>
                <w:rFonts w:eastAsia="Times New Roman" w:cs="Calibri"/>
                <w:sz w:val="20"/>
                <w:szCs w:val="20"/>
                <w:lang w:val="en-US"/>
              </w:rPr>
            </w:pPr>
            <w:r w:rsidRPr="00467EA2">
              <w:rPr>
                <w:rFonts w:eastAsia="Times New Roman" w:cs="Calibri"/>
                <w:sz w:val="20"/>
                <w:szCs w:val="20"/>
                <w:lang w:val="en-US"/>
              </w:rPr>
              <w:t>6</w:t>
            </w:r>
          </w:p>
        </w:tc>
        <w:tc>
          <w:tcPr>
            <w:tcW w:w="5393" w:type="dxa"/>
            <w:tcBorders>
              <w:top w:val="nil"/>
              <w:left w:val="nil"/>
              <w:bottom w:val="double" w:sz="6" w:space="0" w:color="E26B0A"/>
              <w:right w:val="double" w:sz="6" w:space="0" w:color="E26B0A"/>
            </w:tcBorders>
            <w:shd w:val="clear" w:color="auto" w:fill="auto"/>
            <w:noWrap/>
            <w:vAlign w:val="bottom"/>
            <w:hideMark/>
          </w:tcPr>
          <w:p w14:paraId="77AC931F" w14:textId="77777777" w:rsidR="00985FAB" w:rsidRPr="00467EA2" w:rsidRDefault="00985FAB" w:rsidP="00985FAB">
            <w:pPr>
              <w:rPr>
                <w:rFonts w:eastAsia="Times New Roman" w:cs="Calibri"/>
                <w:sz w:val="20"/>
                <w:szCs w:val="20"/>
                <w:lang w:val="en-US"/>
              </w:rPr>
            </w:pPr>
            <w:r w:rsidRPr="00467EA2">
              <w:rPr>
                <w:rFonts w:eastAsia="Times New Roman" w:cs="Calibri"/>
                <w:sz w:val="20"/>
                <w:szCs w:val="20"/>
                <w:lang w:val="en-US"/>
              </w:rPr>
              <w:t>Общо разходи</w:t>
            </w:r>
          </w:p>
        </w:tc>
        <w:tc>
          <w:tcPr>
            <w:tcW w:w="1134" w:type="dxa"/>
            <w:tcBorders>
              <w:top w:val="nil"/>
              <w:left w:val="nil"/>
              <w:bottom w:val="double" w:sz="6" w:space="0" w:color="E26B0A"/>
              <w:right w:val="double" w:sz="6" w:space="0" w:color="E26B0A"/>
            </w:tcBorders>
            <w:shd w:val="clear" w:color="000000" w:fill="FDE9D9"/>
            <w:noWrap/>
            <w:vAlign w:val="bottom"/>
            <w:hideMark/>
          </w:tcPr>
          <w:p w14:paraId="32950F03" w14:textId="77777777" w:rsidR="00985FAB" w:rsidRPr="00467EA2" w:rsidRDefault="00985FAB" w:rsidP="00985FAB">
            <w:pPr>
              <w:jc w:val="right"/>
              <w:rPr>
                <w:rFonts w:eastAsia="Times New Roman" w:cs="Calibri"/>
                <w:sz w:val="20"/>
                <w:szCs w:val="20"/>
                <w:lang w:val="en-US"/>
              </w:rPr>
            </w:pPr>
            <w:r w:rsidRPr="00467EA2">
              <w:rPr>
                <w:rFonts w:eastAsia="Times New Roman" w:cs="Calibri"/>
                <w:sz w:val="20"/>
                <w:szCs w:val="20"/>
                <w:lang w:val="en-US"/>
              </w:rPr>
              <w:t>2 203</w:t>
            </w:r>
          </w:p>
        </w:tc>
        <w:tc>
          <w:tcPr>
            <w:tcW w:w="992" w:type="dxa"/>
            <w:tcBorders>
              <w:top w:val="nil"/>
              <w:left w:val="nil"/>
              <w:bottom w:val="double" w:sz="6" w:space="0" w:color="E26B0A"/>
              <w:right w:val="double" w:sz="6" w:space="0" w:color="E26B0A"/>
            </w:tcBorders>
            <w:shd w:val="clear" w:color="000000" w:fill="FDE9D9"/>
            <w:noWrap/>
            <w:vAlign w:val="bottom"/>
            <w:hideMark/>
          </w:tcPr>
          <w:p w14:paraId="1B6DBE95" w14:textId="77777777" w:rsidR="00985FAB" w:rsidRPr="00467EA2" w:rsidRDefault="00985FAB" w:rsidP="00985FAB">
            <w:pPr>
              <w:jc w:val="right"/>
              <w:rPr>
                <w:rFonts w:eastAsia="Times New Roman" w:cs="Calibri"/>
                <w:sz w:val="20"/>
                <w:szCs w:val="20"/>
                <w:lang w:val="en-US"/>
              </w:rPr>
            </w:pPr>
            <w:r w:rsidRPr="00467EA2">
              <w:rPr>
                <w:rFonts w:eastAsia="Times New Roman" w:cs="Calibri"/>
                <w:sz w:val="20"/>
                <w:szCs w:val="20"/>
                <w:lang w:val="en-US"/>
              </w:rPr>
              <w:t>2 042</w:t>
            </w:r>
          </w:p>
        </w:tc>
        <w:tc>
          <w:tcPr>
            <w:tcW w:w="993" w:type="dxa"/>
            <w:tcBorders>
              <w:top w:val="nil"/>
              <w:left w:val="nil"/>
              <w:bottom w:val="double" w:sz="6" w:space="0" w:color="E26B0A"/>
              <w:right w:val="double" w:sz="6" w:space="0" w:color="E26B0A"/>
            </w:tcBorders>
            <w:shd w:val="clear" w:color="000000" w:fill="FABF8F"/>
            <w:noWrap/>
            <w:vAlign w:val="bottom"/>
            <w:hideMark/>
          </w:tcPr>
          <w:p w14:paraId="5C352176" w14:textId="77777777" w:rsidR="00985FAB" w:rsidRPr="00467EA2" w:rsidRDefault="00985FAB" w:rsidP="00985FAB">
            <w:pPr>
              <w:jc w:val="right"/>
              <w:rPr>
                <w:rFonts w:eastAsia="Times New Roman" w:cs="Calibri"/>
                <w:sz w:val="20"/>
                <w:szCs w:val="20"/>
                <w:lang w:val="en-US"/>
              </w:rPr>
            </w:pPr>
            <w:r w:rsidRPr="00467EA2">
              <w:rPr>
                <w:rFonts w:eastAsia="Times New Roman" w:cs="Calibri"/>
                <w:sz w:val="20"/>
                <w:szCs w:val="20"/>
                <w:lang w:val="en-US"/>
              </w:rPr>
              <w:t>161</w:t>
            </w:r>
          </w:p>
        </w:tc>
        <w:tc>
          <w:tcPr>
            <w:tcW w:w="992" w:type="dxa"/>
            <w:tcBorders>
              <w:top w:val="nil"/>
              <w:left w:val="nil"/>
              <w:bottom w:val="double" w:sz="6" w:space="0" w:color="E26B0A"/>
              <w:right w:val="double" w:sz="6" w:space="0" w:color="E26B0A"/>
            </w:tcBorders>
            <w:shd w:val="clear" w:color="000000" w:fill="FABF8F"/>
            <w:noWrap/>
            <w:vAlign w:val="bottom"/>
            <w:hideMark/>
          </w:tcPr>
          <w:p w14:paraId="7D5182B5" w14:textId="77777777" w:rsidR="00985FAB" w:rsidRPr="00467EA2" w:rsidRDefault="00985FAB" w:rsidP="00985FAB">
            <w:pPr>
              <w:jc w:val="right"/>
              <w:rPr>
                <w:rFonts w:eastAsia="Times New Roman" w:cs="Calibri"/>
                <w:sz w:val="20"/>
                <w:szCs w:val="20"/>
                <w:lang w:val="en-US"/>
              </w:rPr>
            </w:pPr>
            <w:r w:rsidRPr="00467EA2">
              <w:rPr>
                <w:rFonts w:eastAsia="Times New Roman" w:cs="Calibri"/>
                <w:sz w:val="20"/>
                <w:szCs w:val="20"/>
                <w:lang w:val="en-US"/>
              </w:rPr>
              <w:t>7,9%</w:t>
            </w:r>
          </w:p>
        </w:tc>
      </w:tr>
      <w:tr w:rsidR="00985FAB" w:rsidRPr="00467EA2" w14:paraId="7256349A" w14:textId="77777777" w:rsidTr="001E4B17">
        <w:trPr>
          <w:trHeight w:val="300"/>
        </w:trPr>
        <w:tc>
          <w:tcPr>
            <w:tcW w:w="419" w:type="dxa"/>
            <w:tcBorders>
              <w:top w:val="nil"/>
              <w:left w:val="double" w:sz="6" w:space="0" w:color="E26B0A"/>
              <w:bottom w:val="double" w:sz="6" w:space="0" w:color="E26B0A"/>
              <w:right w:val="double" w:sz="6" w:space="0" w:color="E26B0A"/>
            </w:tcBorders>
            <w:shd w:val="clear" w:color="auto" w:fill="auto"/>
            <w:noWrap/>
            <w:vAlign w:val="bottom"/>
            <w:hideMark/>
          </w:tcPr>
          <w:p w14:paraId="258277C5" w14:textId="77777777" w:rsidR="00985FAB" w:rsidRPr="00467EA2" w:rsidRDefault="00985FAB" w:rsidP="00985FAB">
            <w:pPr>
              <w:jc w:val="center"/>
              <w:rPr>
                <w:rFonts w:eastAsia="Times New Roman" w:cs="Calibri"/>
                <w:sz w:val="20"/>
                <w:szCs w:val="20"/>
                <w:lang w:val="en-US"/>
              </w:rPr>
            </w:pPr>
            <w:r w:rsidRPr="00467EA2">
              <w:rPr>
                <w:rFonts w:eastAsia="Times New Roman" w:cs="Calibri"/>
                <w:sz w:val="20"/>
                <w:szCs w:val="20"/>
                <w:lang w:val="en-US"/>
              </w:rPr>
              <w:t>7</w:t>
            </w:r>
          </w:p>
        </w:tc>
        <w:tc>
          <w:tcPr>
            <w:tcW w:w="5393" w:type="dxa"/>
            <w:tcBorders>
              <w:top w:val="nil"/>
              <w:left w:val="nil"/>
              <w:bottom w:val="double" w:sz="6" w:space="0" w:color="E26B0A"/>
              <w:right w:val="double" w:sz="6" w:space="0" w:color="E26B0A"/>
            </w:tcBorders>
            <w:shd w:val="clear" w:color="auto" w:fill="auto"/>
            <w:noWrap/>
            <w:vAlign w:val="bottom"/>
            <w:hideMark/>
          </w:tcPr>
          <w:p w14:paraId="193977A4" w14:textId="77777777" w:rsidR="00985FAB" w:rsidRPr="00467EA2" w:rsidRDefault="00985FAB" w:rsidP="00985FAB">
            <w:pPr>
              <w:rPr>
                <w:rFonts w:eastAsia="Times New Roman" w:cs="Calibri"/>
                <w:sz w:val="20"/>
                <w:szCs w:val="20"/>
                <w:lang w:val="en-US"/>
              </w:rPr>
            </w:pPr>
            <w:r w:rsidRPr="00467EA2">
              <w:rPr>
                <w:rFonts w:eastAsia="Times New Roman" w:cs="Calibri"/>
                <w:sz w:val="20"/>
                <w:szCs w:val="20"/>
                <w:lang w:val="en-US"/>
              </w:rPr>
              <w:t>Собствен капитал</w:t>
            </w:r>
          </w:p>
        </w:tc>
        <w:tc>
          <w:tcPr>
            <w:tcW w:w="1134" w:type="dxa"/>
            <w:tcBorders>
              <w:top w:val="nil"/>
              <w:left w:val="nil"/>
              <w:bottom w:val="double" w:sz="6" w:space="0" w:color="E26B0A"/>
              <w:right w:val="double" w:sz="6" w:space="0" w:color="E26B0A"/>
            </w:tcBorders>
            <w:shd w:val="clear" w:color="000000" w:fill="FDE9D9"/>
            <w:noWrap/>
            <w:vAlign w:val="bottom"/>
            <w:hideMark/>
          </w:tcPr>
          <w:p w14:paraId="4CAF9576" w14:textId="77777777" w:rsidR="00985FAB" w:rsidRPr="00467EA2" w:rsidRDefault="00985FAB" w:rsidP="00985FAB">
            <w:pPr>
              <w:jc w:val="right"/>
              <w:rPr>
                <w:rFonts w:eastAsia="Times New Roman" w:cs="Calibri"/>
                <w:sz w:val="20"/>
                <w:szCs w:val="20"/>
                <w:lang w:val="en-US"/>
              </w:rPr>
            </w:pPr>
            <w:r w:rsidRPr="00467EA2">
              <w:rPr>
                <w:rFonts w:eastAsia="Times New Roman" w:cs="Calibri"/>
                <w:sz w:val="20"/>
                <w:szCs w:val="20"/>
                <w:lang w:val="en-US"/>
              </w:rPr>
              <w:t>538</w:t>
            </w:r>
          </w:p>
        </w:tc>
        <w:tc>
          <w:tcPr>
            <w:tcW w:w="992" w:type="dxa"/>
            <w:tcBorders>
              <w:top w:val="nil"/>
              <w:left w:val="nil"/>
              <w:bottom w:val="double" w:sz="6" w:space="0" w:color="E26B0A"/>
              <w:right w:val="double" w:sz="6" w:space="0" w:color="E26B0A"/>
            </w:tcBorders>
            <w:shd w:val="clear" w:color="000000" w:fill="FDE9D9"/>
            <w:noWrap/>
            <w:vAlign w:val="bottom"/>
            <w:hideMark/>
          </w:tcPr>
          <w:p w14:paraId="0705A344" w14:textId="77777777" w:rsidR="00985FAB" w:rsidRPr="00467EA2" w:rsidRDefault="00985FAB" w:rsidP="00985FAB">
            <w:pPr>
              <w:jc w:val="right"/>
              <w:rPr>
                <w:rFonts w:eastAsia="Times New Roman" w:cs="Calibri"/>
                <w:sz w:val="20"/>
                <w:szCs w:val="20"/>
                <w:lang w:val="en-US"/>
              </w:rPr>
            </w:pPr>
            <w:r w:rsidRPr="00467EA2">
              <w:rPr>
                <w:rFonts w:eastAsia="Times New Roman" w:cs="Calibri"/>
                <w:sz w:val="20"/>
                <w:szCs w:val="20"/>
                <w:lang w:val="en-US"/>
              </w:rPr>
              <w:t>418</w:t>
            </w:r>
          </w:p>
        </w:tc>
        <w:tc>
          <w:tcPr>
            <w:tcW w:w="993" w:type="dxa"/>
            <w:tcBorders>
              <w:top w:val="nil"/>
              <w:left w:val="nil"/>
              <w:bottom w:val="double" w:sz="6" w:space="0" w:color="E26B0A"/>
              <w:right w:val="double" w:sz="6" w:space="0" w:color="E26B0A"/>
            </w:tcBorders>
            <w:shd w:val="clear" w:color="000000" w:fill="FABF8F"/>
            <w:noWrap/>
            <w:vAlign w:val="bottom"/>
            <w:hideMark/>
          </w:tcPr>
          <w:p w14:paraId="7E55218B" w14:textId="77777777" w:rsidR="00985FAB" w:rsidRPr="00467EA2" w:rsidRDefault="00985FAB" w:rsidP="00985FAB">
            <w:pPr>
              <w:jc w:val="right"/>
              <w:rPr>
                <w:rFonts w:eastAsia="Times New Roman" w:cs="Calibri"/>
                <w:sz w:val="20"/>
                <w:szCs w:val="20"/>
                <w:lang w:val="en-US"/>
              </w:rPr>
            </w:pPr>
            <w:r w:rsidRPr="00467EA2">
              <w:rPr>
                <w:rFonts w:eastAsia="Times New Roman" w:cs="Calibri"/>
                <w:sz w:val="20"/>
                <w:szCs w:val="20"/>
                <w:lang w:val="en-US"/>
              </w:rPr>
              <w:t>120</w:t>
            </w:r>
          </w:p>
        </w:tc>
        <w:tc>
          <w:tcPr>
            <w:tcW w:w="992" w:type="dxa"/>
            <w:tcBorders>
              <w:top w:val="nil"/>
              <w:left w:val="nil"/>
              <w:bottom w:val="double" w:sz="6" w:space="0" w:color="E26B0A"/>
              <w:right w:val="double" w:sz="6" w:space="0" w:color="E26B0A"/>
            </w:tcBorders>
            <w:shd w:val="clear" w:color="000000" w:fill="FABF8F"/>
            <w:noWrap/>
            <w:vAlign w:val="bottom"/>
            <w:hideMark/>
          </w:tcPr>
          <w:p w14:paraId="22F4DA64" w14:textId="77777777" w:rsidR="00985FAB" w:rsidRPr="00467EA2" w:rsidRDefault="00985FAB" w:rsidP="00985FAB">
            <w:pPr>
              <w:jc w:val="right"/>
              <w:rPr>
                <w:rFonts w:eastAsia="Times New Roman" w:cs="Calibri"/>
                <w:sz w:val="20"/>
                <w:szCs w:val="20"/>
                <w:lang w:val="en-US"/>
              </w:rPr>
            </w:pPr>
            <w:r w:rsidRPr="00467EA2">
              <w:rPr>
                <w:rFonts w:eastAsia="Times New Roman" w:cs="Calibri"/>
                <w:sz w:val="20"/>
                <w:szCs w:val="20"/>
                <w:lang w:val="en-US"/>
              </w:rPr>
              <w:t>28,7%</w:t>
            </w:r>
          </w:p>
        </w:tc>
      </w:tr>
      <w:tr w:rsidR="00985FAB" w:rsidRPr="00467EA2" w14:paraId="37FD5A94" w14:textId="77777777" w:rsidTr="001E4B17">
        <w:trPr>
          <w:trHeight w:val="300"/>
        </w:trPr>
        <w:tc>
          <w:tcPr>
            <w:tcW w:w="419" w:type="dxa"/>
            <w:tcBorders>
              <w:top w:val="nil"/>
              <w:left w:val="double" w:sz="6" w:space="0" w:color="E26B0A"/>
              <w:bottom w:val="double" w:sz="6" w:space="0" w:color="E26B0A"/>
              <w:right w:val="double" w:sz="6" w:space="0" w:color="E26B0A"/>
            </w:tcBorders>
            <w:shd w:val="clear" w:color="auto" w:fill="auto"/>
            <w:noWrap/>
            <w:vAlign w:val="bottom"/>
            <w:hideMark/>
          </w:tcPr>
          <w:p w14:paraId="702CED81" w14:textId="77777777" w:rsidR="00985FAB" w:rsidRPr="00467EA2" w:rsidRDefault="00985FAB" w:rsidP="00985FAB">
            <w:pPr>
              <w:jc w:val="center"/>
              <w:rPr>
                <w:rFonts w:eastAsia="Times New Roman" w:cs="Calibri"/>
                <w:sz w:val="20"/>
                <w:szCs w:val="20"/>
                <w:lang w:val="en-US"/>
              </w:rPr>
            </w:pPr>
            <w:r w:rsidRPr="00467EA2">
              <w:rPr>
                <w:rFonts w:eastAsia="Times New Roman" w:cs="Calibri"/>
                <w:sz w:val="20"/>
                <w:szCs w:val="20"/>
                <w:lang w:val="en-US"/>
              </w:rPr>
              <w:t>8</w:t>
            </w:r>
          </w:p>
        </w:tc>
        <w:tc>
          <w:tcPr>
            <w:tcW w:w="5393" w:type="dxa"/>
            <w:tcBorders>
              <w:top w:val="nil"/>
              <w:left w:val="nil"/>
              <w:bottom w:val="double" w:sz="6" w:space="0" w:color="E26B0A"/>
              <w:right w:val="double" w:sz="6" w:space="0" w:color="E26B0A"/>
            </w:tcBorders>
            <w:shd w:val="clear" w:color="auto" w:fill="auto"/>
            <w:noWrap/>
            <w:vAlign w:val="bottom"/>
            <w:hideMark/>
          </w:tcPr>
          <w:p w14:paraId="06A06DEB" w14:textId="77777777" w:rsidR="00985FAB" w:rsidRPr="00467EA2" w:rsidRDefault="00985FAB" w:rsidP="00985FAB">
            <w:pPr>
              <w:rPr>
                <w:rFonts w:eastAsia="Times New Roman" w:cs="Calibri"/>
                <w:sz w:val="20"/>
                <w:szCs w:val="20"/>
                <w:lang w:val="en-US"/>
              </w:rPr>
            </w:pPr>
            <w:r w:rsidRPr="00467EA2">
              <w:rPr>
                <w:rFonts w:eastAsia="Times New Roman" w:cs="Calibri"/>
                <w:sz w:val="20"/>
                <w:szCs w:val="20"/>
                <w:lang w:val="en-US"/>
              </w:rPr>
              <w:t>Пасиви (дългосрочни и краткосрочни)</w:t>
            </w:r>
          </w:p>
        </w:tc>
        <w:tc>
          <w:tcPr>
            <w:tcW w:w="1134" w:type="dxa"/>
            <w:tcBorders>
              <w:top w:val="nil"/>
              <w:left w:val="nil"/>
              <w:bottom w:val="double" w:sz="6" w:space="0" w:color="E26B0A"/>
              <w:right w:val="double" w:sz="6" w:space="0" w:color="E26B0A"/>
            </w:tcBorders>
            <w:shd w:val="clear" w:color="000000" w:fill="FDE9D9"/>
            <w:noWrap/>
            <w:vAlign w:val="bottom"/>
            <w:hideMark/>
          </w:tcPr>
          <w:p w14:paraId="53A5942E" w14:textId="77777777" w:rsidR="00985FAB" w:rsidRPr="00467EA2" w:rsidRDefault="00985FAB" w:rsidP="00985FAB">
            <w:pPr>
              <w:jc w:val="right"/>
              <w:rPr>
                <w:rFonts w:eastAsia="Times New Roman" w:cs="Calibri"/>
                <w:sz w:val="20"/>
                <w:szCs w:val="20"/>
                <w:lang w:val="en-US"/>
              </w:rPr>
            </w:pPr>
            <w:r w:rsidRPr="00467EA2">
              <w:rPr>
                <w:rFonts w:eastAsia="Times New Roman" w:cs="Calibri"/>
                <w:sz w:val="20"/>
                <w:szCs w:val="20"/>
                <w:lang w:val="en-US"/>
              </w:rPr>
              <w:t>662</w:t>
            </w:r>
          </w:p>
        </w:tc>
        <w:tc>
          <w:tcPr>
            <w:tcW w:w="992" w:type="dxa"/>
            <w:tcBorders>
              <w:top w:val="nil"/>
              <w:left w:val="nil"/>
              <w:bottom w:val="double" w:sz="6" w:space="0" w:color="E26B0A"/>
              <w:right w:val="double" w:sz="6" w:space="0" w:color="E26B0A"/>
            </w:tcBorders>
            <w:shd w:val="clear" w:color="000000" w:fill="FDE9D9"/>
            <w:noWrap/>
            <w:vAlign w:val="bottom"/>
            <w:hideMark/>
          </w:tcPr>
          <w:p w14:paraId="12329150" w14:textId="77777777" w:rsidR="00985FAB" w:rsidRPr="00467EA2" w:rsidRDefault="00985FAB" w:rsidP="00985FAB">
            <w:pPr>
              <w:jc w:val="right"/>
              <w:rPr>
                <w:rFonts w:eastAsia="Times New Roman" w:cs="Calibri"/>
                <w:sz w:val="20"/>
                <w:szCs w:val="20"/>
                <w:lang w:val="en-US"/>
              </w:rPr>
            </w:pPr>
            <w:r w:rsidRPr="00467EA2">
              <w:rPr>
                <w:rFonts w:eastAsia="Times New Roman" w:cs="Calibri"/>
                <w:sz w:val="20"/>
                <w:szCs w:val="20"/>
                <w:lang w:val="en-US"/>
              </w:rPr>
              <w:t>737</w:t>
            </w:r>
          </w:p>
        </w:tc>
        <w:tc>
          <w:tcPr>
            <w:tcW w:w="993" w:type="dxa"/>
            <w:tcBorders>
              <w:top w:val="nil"/>
              <w:left w:val="nil"/>
              <w:bottom w:val="double" w:sz="6" w:space="0" w:color="E26B0A"/>
              <w:right w:val="double" w:sz="6" w:space="0" w:color="E26B0A"/>
            </w:tcBorders>
            <w:shd w:val="clear" w:color="000000" w:fill="FABF8F"/>
            <w:noWrap/>
            <w:vAlign w:val="bottom"/>
            <w:hideMark/>
          </w:tcPr>
          <w:p w14:paraId="38FD736B" w14:textId="77777777" w:rsidR="00985FAB" w:rsidRPr="00467EA2" w:rsidRDefault="00985FAB" w:rsidP="00985FAB">
            <w:pPr>
              <w:jc w:val="right"/>
              <w:rPr>
                <w:rFonts w:eastAsia="Times New Roman" w:cs="Calibri"/>
                <w:sz w:val="20"/>
                <w:szCs w:val="20"/>
                <w:lang w:val="en-US"/>
              </w:rPr>
            </w:pPr>
            <w:r w:rsidRPr="00467EA2">
              <w:rPr>
                <w:rFonts w:eastAsia="Times New Roman" w:cs="Calibri"/>
                <w:sz w:val="20"/>
                <w:szCs w:val="20"/>
                <w:lang w:val="en-US"/>
              </w:rPr>
              <w:t>-75</w:t>
            </w:r>
          </w:p>
        </w:tc>
        <w:tc>
          <w:tcPr>
            <w:tcW w:w="992" w:type="dxa"/>
            <w:tcBorders>
              <w:top w:val="nil"/>
              <w:left w:val="nil"/>
              <w:bottom w:val="double" w:sz="6" w:space="0" w:color="E26B0A"/>
              <w:right w:val="double" w:sz="6" w:space="0" w:color="E26B0A"/>
            </w:tcBorders>
            <w:shd w:val="clear" w:color="000000" w:fill="FABF8F"/>
            <w:noWrap/>
            <w:vAlign w:val="bottom"/>
            <w:hideMark/>
          </w:tcPr>
          <w:p w14:paraId="6E41A30A" w14:textId="77777777" w:rsidR="00985FAB" w:rsidRPr="00467EA2" w:rsidRDefault="00985FAB" w:rsidP="00985FAB">
            <w:pPr>
              <w:jc w:val="right"/>
              <w:rPr>
                <w:rFonts w:eastAsia="Times New Roman" w:cs="Calibri"/>
                <w:sz w:val="20"/>
                <w:szCs w:val="20"/>
                <w:lang w:val="en-US"/>
              </w:rPr>
            </w:pPr>
            <w:r w:rsidRPr="00467EA2">
              <w:rPr>
                <w:rFonts w:eastAsia="Times New Roman" w:cs="Calibri"/>
                <w:sz w:val="20"/>
                <w:szCs w:val="20"/>
                <w:lang w:val="en-US"/>
              </w:rPr>
              <w:t>-10,2%</w:t>
            </w:r>
          </w:p>
        </w:tc>
      </w:tr>
      <w:tr w:rsidR="00985FAB" w:rsidRPr="00467EA2" w14:paraId="3F3C9CBD" w14:textId="77777777" w:rsidTr="001E4B17">
        <w:trPr>
          <w:trHeight w:val="300"/>
        </w:trPr>
        <w:tc>
          <w:tcPr>
            <w:tcW w:w="419" w:type="dxa"/>
            <w:tcBorders>
              <w:top w:val="nil"/>
              <w:left w:val="double" w:sz="6" w:space="0" w:color="E26B0A"/>
              <w:bottom w:val="double" w:sz="6" w:space="0" w:color="E26B0A"/>
              <w:right w:val="double" w:sz="6" w:space="0" w:color="E26B0A"/>
            </w:tcBorders>
            <w:shd w:val="clear" w:color="auto" w:fill="auto"/>
            <w:noWrap/>
            <w:vAlign w:val="bottom"/>
            <w:hideMark/>
          </w:tcPr>
          <w:p w14:paraId="0D88B9FC" w14:textId="77777777" w:rsidR="00985FAB" w:rsidRPr="00467EA2" w:rsidRDefault="00985FAB" w:rsidP="00985FAB">
            <w:pPr>
              <w:jc w:val="center"/>
              <w:rPr>
                <w:rFonts w:eastAsia="Times New Roman" w:cs="Calibri"/>
                <w:sz w:val="20"/>
                <w:szCs w:val="20"/>
                <w:lang w:val="en-US"/>
              </w:rPr>
            </w:pPr>
            <w:r w:rsidRPr="00467EA2">
              <w:rPr>
                <w:rFonts w:eastAsia="Times New Roman" w:cs="Calibri"/>
                <w:sz w:val="20"/>
                <w:szCs w:val="20"/>
                <w:lang w:val="en-US"/>
              </w:rPr>
              <w:t>9</w:t>
            </w:r>
          </w:p>
        </w:tc>
        <w:tc>
          <w:tcPr>
            <w:tcW w:w="5393" w:type="dxa"/>
            <w:tcBorders>
              <w:top w:val="nil"/>
              <w:left w:val="nil"/>
              <w:bottom w:val="double" w:sz="6" w:space="0" w:color="E26B0A"/>
              <w:right w:val="double" w:sz="6" w:space="0" w:color="E26B0A"/>
            </w:tcBorders>
            <w:shd w:val="clear" w:color="auto" w:fill="auto"/>
            <w:noWrap/>
            <w:vAlign w:val="bottom"/>
            <w:hideMark/>
          </w:tcPr>
          <w:p w14:paraId="5153A055" w14:textId="77777777" w:rsidR="00985FAB" w:rsidRPr="00467EA2" w:rsidRDefault="00985FAB" w:rsidP="00985FAB">
            <w:pPr>
              <w:rPr>
                <w:rFonts w:eastAsia="Times New Roman" w:cs="Calibri"/>
                <w:sz w:val="20"/>
                <w:szCs w:val="20"/>
                <w:lang w:val="en-US"/>
              </w:rPr>
            </w:pPr>
            <w:r w:rsidRPr="00467EA2">
              <w:rPr>
                <w:rFonts w:eastAsia="Times New Roman" w:cs="Calibri"/>
                <w:sz w:val="20"/>
                <w:szCs w:val="20"/>
                <w:lang w:val="en-US"/>
              </w:rPr>
              <w:t>Обща сума на активите</w:t>
            </w:r>
          </w:p>
        </w:tc>
        <w:tc>
          <w:tcPr>
            <w:tcW w:w="1134" w:type="dxa"/>
            <w:tcBorders>
              <w:top w:val="nil"/>
              <w:left w:val="nil"/>
              <w:bottom w:val="double" w:sz="6" w:space="0" w:color="E26B0A"/>
              <w:right w:val="double" w:sz="6" w:space="0" w:color="E26B0A"/>
            </w:tcBorders>
            <w:shd w:val="clear" w:color="000000" w:fill="FDE9D9"/>
            <w:noWrap/>
            <w:vAlign w:val="bottom"/>
            <w:hideMark/>
          </w:tcPr>
          <w:p w14:paraId="103AC808" w14:textId="77777777" w:rsidR="00985FAB" w:rsidRPr="00467EA2" w:rsidRDefault="00985FAB" w:rsidP="00985FAB">
            <w:pPr>
              <w:jc w:val="right"/>
              <w:rPr>
                <w:rFonts w:eastAsia="Times New Roman" w:cs="Calibri"/>
                <w:sz w:val="20"/>
                <w:szCs w:val="20"/>
                <w:lang w:val="en-US"/>
              </w:rPr>
            </w:pPr>
            <w:r w:rsidRPr="00467EA2">
              <w:rPr>
                <w:rFonts w:eastAsia="Times New Roman" w:cs="Calibri"/>
                <w:sz w:val="20"/>
                <w:szCs w:val="20"/>
                <w:lang w:val="en-US"/>
              </w:rPr>
              <w:t>1 200</w:t>
            </w:r>
          </w:p>
        </w:tc>
        <w:tc>
          <w:tcPr>
            <w:tcW w:w="992" w:type="dxa"/>
            <w:tcBorders>
              <w:top w:val="nil"/>
              <w:left w:val="nil"/>
              <w:bottom w:val="double" w:sz="6" w:space="0" w:color="E26B0A"/>
              <w:right w:val="double" w:sz="6" w:space="0" w:color="E26B0A"/>
            </w:tcBorders>
            <w:shd w:val="clear" w:color="000000" w:fill="FDE9D9"/>
            <w:noWrap/>
            <w:vAlign w:val="bottom"/>
            <w:hideMark/>
          </w:tcPr>
          <w:p w14:paraId="3A1884A4" w14:textId="77777777" w:rsidR="00985FAB" w:rsidRPr="00467EA2" w:rsidRDefault="00985FAB" w:rsidP="00985FAB">
            <w:pPr>
              <w:jc w:val="right"/>
              <w:rPr>
                <w:rFonts w:eastAsia="Times New Roman" w:cs="Calibri"/>
                <w:sz w:val="20"/>
                <w:szCs w:val="20"/>
                <w:lang w:val="en-US"/>
              </w:rPr>
            </w:pPr>
            <w:r w:rsidRPr="00467EA2">
              <w:rPr>
                <w:rFonts w:eastAsia="Times New Roman" w:cs="Calibri"/>
                <w:sz w:val="20"/>
                <w:szCs w:val="20"/>
                <w:lang w:val="en-US"/>
              </w:rPr>
              <w:t>1 155</w:t>
            </w:r>
          </w:p>
        </w:tc>
        <w:tc>
          <w:tcPr>
            <w:tcW w:w="993" w:type="dxa"/>
            <w:tcBorders>
              <w:top w:val="nil"/>
              <w:left w:val="nil"/>
              <w:bottom w:val="double" w:sz="6" w:space="0" w:color="E26B0A"/>
              <w:right w:val="double" w:sz="6" w:space="0" w:color="E26B0A"/>
            </w:tcBorders>
            <w:shd w:val="clear" w:color="000000" w:fill="FABF8F"/>
            <w:noWrap/>
            <w:vAlign w:val="bottom"/>
            <w:hideMark/>
          </w:tcPr>
          <w:p w14:paraId="59A56816" w14:textId="77777777" w:rsidR="00985FAB" w:rsidRPr="00467EA2" w:rsidRDefault="00985FAB" w:rsidP="00985FAB">
            <w:pPr>
              <w:jc w:val="right"/>
              <w:rPr>
                <w:rFonts w:eastAsia="Times New Roman" w:cs="Calibri"/>
                <w:sz w:val="20"/>
                <w:szCs w:val="20"/>
                <w:lang w:val="en-US"/>
              </w:rPr>
            </w:pPr>
            <w:r w:rsidRPr="00467EA2">
              <w:rPr>
                <w:rFonts w:eastAsia="Times New Roman" w:cs="Calibri"/>
                <w:sz w:val="20"/>
                <w:szCs w:val="20"/>
                <w:lang w:val="en-US"/>
              </w:rPr>
              <w:t>45</w:t>
            </w:r>
          </w:p>
        </w:tc>
        <w:tc>
          <w:tcPr>
            <w:tcW w:w="992" w:type="dxa"/>
            <w:tcBorders>
              <w:top w:val="nil"/>
              <w:left w:val="nil"/>
              <w:bottom w:val="double" w:sz="6" w:space="0" w:color="E26B0A"/>
              <w:right w:val="double" w:sz="6" w:space="0" w:color="E26B0A"/>
            </w:tcBorders>
            <w:shd w:val="clear" w:color="000000" w:fill="FABF8F"/>
            <w:noWrap/>
            <w:vAlign w:val="bottom"/>
            <w:hideMark/>
          </w:tcPr>
          <w:p w14:paraId="3996EC09" w14:textId="77777777" w:rsidR="00985FAB" w:rsidRPr="00467EA2" w:rsidRDefault="00985FAB" w:rsidP="00985FAB">
            <w:pPr>
              <w:jc w:val="right"/>
              <w:rPr>
                <w:rFonts w:eastAsia="Times New Roman" w:cs="Calibri"/>
                <w:sz w:val="20"/>
                <w:szCs w:val="20"/>
                <w:lang w:val="en-US"/>
              </w:rPr>
            </w:pPr>
            <w:r w:rsidRPr="00467EA2">
              <w:rPr>
                <w:rFonts w:eastAsia="Times New Roman" w:cs="Calibri"/>
                <w:sz w:val="20"/>
                <w:szCs w:val="20"/>
                <w:lang w:val="en-US"/>
              </w:rPr>
              <w:t>3,9%</w:t>
            </w:r>
          </w:p>
        </w:tc>
      </w:tr>
      <w:tr w:rsidR="00985FAB" w:rsidRPr="00467EA2" w14:paraId="57035B0D" w14:textId="77777777" w:rsidTr="001E4B17">
        <w:trPr>
          <w:trHeight w:val="300"/>
        </w:trPr>
        <w:tc>
          <w:tcPr>
            <w:tcW w:w="419" w:type="dxa"/>
            <w:tcBorders>
              <w:top w:val="nil"/>
              <w:left w:val="double" w:sz="6" w:space="0" w:color="E26B0A"/>
              <w:bottom w:val="double" w:sz="6" w:space="0" w:color="E26B0A"/>
              <w:right w:val="double" w:sz="6" w:space="0" w:color="E26B0A"/>
            </w:tcBorders>
            <w:shd w:val="clear" w:color="auto" w:fill="auto"/>
            <w:noWrap/>
            <w:vAlign w:val="bottom"/>
            <w:hideMark/>
          </w:tcPr>
          <w:p w14:paraId="1355C3F9" w14:textId="77777777" w:rsidR="00985FAB" w:rsidRPr="00467EA2" w:rsidRDefault="00985FAB" w:rsidP="00985FAB">
            <w:pPr>
              <w:jc w:val="center"/>
              <w:rPr>
                <w:rFonts w:eastAsia="Times New Roman" w:cs="Calibri"/>
                <w:sz w:val="20"/>
                <w:szCs w:val="20"/>
                <w:lang w:val="en-US"/>
              </w:rPr>
            </w:pPr>
            <w:r w:rsidRPr="00467EA2">
              <w:rPr>
                <w:rFonts w:eastAsia="Times New Roman" w:cs="Calibri"/>
                <w:sz w:val="20"/>
                <w:szCs w:val="20"/>
                <w:lang w:val="en-US"/>
              </w:rPr>
              <w:t>10</w:t>
            </w:r>
          </w:p>
        </w:tc>
        <w:tc>
          <w:tcPr>
            <w:tcW w:w="5393" w:type="dxa"/>
            <w:tcBorders>
              <w:top w:val="nil"/>
              <w:left w:val="nil"/>
              <w:bottom w:val="double" w:sz="6" w:space="0" w:color="E26B0A"/>
              <w:right w:val="double" w:sz="6" w:space="0" w:color="E26B0A"/>
            </w:tcBorders>
            <w:shd w:val="clear" w:color="auto" w:fill="auto"/>
            <w:noWrap/>
            <w:vAlign w:val="bottom"/>
            <w:hideMark/>
          </w:tcPr>
          <w:p w14:paraId="5C4BDB9B" w14:textId="77777777" w:rsidR="00985FAB" w:rsidRPr="00467EA2" w:rsidRDefault="00985FAB" w:rsidP="00985FAB">
            <w:pPr>
              <w:rPr>
                <w:rFonts w:eastAsia="Times New Roman" w:cs="Calibri"/>
                <w:sz w:val="20"/>
                <w:szCs w:val="20"/>
                <w:lang w:val="en-US"/>
              </w:rPr>
            </w:pPr>
            <w:r w:rsidRPr="00467EA2">
              <w:rPr>
                <w:rFonts w:eastAsia="Times New Roman" w:cs="Calibri"/>
                <w:sz w:val="20"/>
                <w:szCs w:val="20"/>
                <w:lang w:val="en-US"/>
              </w:rPr>
              <w:t>Краткотрайни активи</w:t>
            </w:r>
          </w:p>
        </w:tc>
        <w:tc>
          <w:tcPr>
            <w:tcW w:w="1134" w:type="dxa"/>
            <w:tcBorders>
              <w:top w:val="nil"/>
              <w:left w:val="nil"/>
              <w:bottom w:val="double" w:sz="6" w:space="0" w:color="E26B0A"/>
              <w:right w:val="double" w:sz="6" w:space="0" w:color="E26B0A"/>
            </w:tcBorders>
            <w:shd w:val="clear" w:color="000000" w:fill="FDE9D9"/>
            <w:noWrap/>
            <w:vAlign w:val="bottom"/>
            <w:hideMark/>
          </w:tcPr>
          <w:p w14:paraId="6534B355" w14:textId="77777777" w:rsidR="00985FAB" w:rsidRPr="00467EA2" w:rsidRDefault="00985FAB" w:rsidP="00985FAB">
            <w:pPr>
              <w:jc w:val="right"/>
              <w:rPr>
                <w:rFonts w:eastAsia="Times New Roman" w:cs="Calibri"/>
                <w:sz w:val="20"/>
                <w:szCs w:val="20"/>
                <w:lang w:val="en-US"/>
              </w:rPr>
            </w:pPr>
            <w:r w:rsidRPr="00467EA2">
              <w:rPr>
                <w:rFonts w:eastAsia="Times New Roman" w:cs="Calibri"/>
                <w:sz w:val="20"/>
                <w:szCs w:val="20"/>
                <w:lang w:val="en-US"/>
              </w:rPr>
              <w:t>430</w:t>
            </w:r>
          </w:p>
        </w:tc>
        <w:tc>
          <w:tcPr>
            <w:tcW w:w="992" w:type="dxa"/>
            <w:tcBorders>
              <w:top w:val="nil"/>
              <w:left w:val="nil"/>
              <w:bottom w:val="double" w:sz="6" w:space="0" w:color="E26B0A"/>
              <w:right w:val="double" w:sz="6" w:space="0" w:color="E26B0A"/>
            </w:tcBorders>
            <w:shd w:val="clear" w:color="000000" w:fill="FDE9D9"/>
            <w:noWrap/>
            <w:vAlign w:val="bottom"/>
            <w:hideMark/>
          </w:tcPr>
          <w:p w14:paraId="31D09E8B" w14:textId="77777777" w:rsidR="00985FAB" w:rsidRPr="00467EA2" w:rsidRDefault="00985FAB" w:rsidP="00985FAB">
            <w:pPr>
              <w:jc w:val="right"/>
              <w:rPr>
                <w:rFonts w:eastAsia="Times New Roman" w:cs="Calibri"/>
                <w:sz w:val="20"/>
                <w:szCs w:val="20"/>
                <w:lang w:val="en-US"/>
              </w:rPr>
            </w:pPr>
            <w:r w:rsidRPr="00467EA2">
              <w:rPr>
                <w:rFonts w:eastAsia="Times New Roman" w:cs="Calibri"/>
                <w:sz w:val="20"/>
                <w:szCs w:val="20"/>
                <w:lang w:val="en-US"/>
              </w:rPr>
              <w:t>422</w:t>
            </w:r>
          </w:p>
        </w:tc>
        <w:tc>
          <w:tcPr>
            <w:tcW w:w="993" w:type="dxa"/>
            <w:tcBorders>
              <w:top w:val="nil"/>
              <w:left w:val="nil"/>
              <w:bottom w:val="double" w:sz="6" w:space="0" w:color="E26B0A"/>
              <w:right w:val="double" w:sz="6" w:space="0" w:color="E26B0A"/>
            </w:tcBorders>
            <w:shd w:val="clear" w:color="000000" w:fill="FABF8F"/>
            <w:noWrap/>
            <w:vAlign w:val="bottom"/>
            <w:hideMark/>
          </w:tcPr>
          <w:p w14:paraId="2B5F0C18" w14:textId="77777777" w:rsidR="00985FAB" w:rsidRPr="00467EA2" w:rsidRDefault="00985FAB" w:rsidP="00985FAB">
            <w:pPr>
              <w:jc w:val="right"/>
              <w:rPr>
                <w:rFonts w:eastAsia="Times New Roman" w:cs="Calibri"/>
                <w:sz w:val="20"/>
                <w:szCs w:val="20"/>
                <w:lang w:val="en-US"/>
              </w:rPr>
            </w:pPr>
            <w:r w:rsidRPr="00467EA2">
              <w:rPr>
                <w:rFonts w:eastAsia="Times New Roman" w:cs="Calibri"/>
                <w:sz w:val="20"/>
                <w:szCs w:val="20"/>
                <w:lang w:val="en-US"/>
              </w:rPr>
              <w:t>8</w:t>
            </w:r>
          </w:p>
        </w:tc>
        <w:tc>
          <w:tcPr>
            <w:tcW w:w="992" w:type="dxa"/>
            <w:tcBorders>
              <w:top w:val="nil"/>
              <w:left w:val="nil"/>
              <w:bottom w:val="double" w:sz="6" w:space="0" w:color="E26B0A"/>
              <w:right w:val="double" w:sz="6" w:space="0" w:color="E26B0A"/>
            </w:tcBorders>
            <w:shd w:val="clear" w:color="000000" w:fill="FABF8F"/>
            <w:noWrap/>
            <w:vAlign w:val="bottom"/>
            <w:hideMark/>
          </w:tcPr>
          <w:p w14:paraId="785FC723" w14:textId="77777777" w:rsidR="00985FAB" w:rsidRPr="00467EA2" w:rsidRDefault="00985FAB" w:rsidP="00985FAB">
            <w:pPr>
              <w:jc w:val="right"/>
              <w:rPr>
                <w:rFonts w:eastAsia="Times New Roman" w:cs="Calibri"/>
                <w:sz w:val="20"/>
                <w:szCs w:val="20"/>
                <w:lang w:val="en-US"/>
              </w:rPr>
            </w:pPr>
            <w:r w:rsidRPr="00467EA2">
              <w:rPr>
                <w:rFonts w:eastAsia="Times New Roman" w:cs="Calibri"/>
                <w:sz w:val="20"/>
                <w:szCs w:val="20"/>
                <w:lang w:val="en-US"/>
              </w:rPr>
              <w:t>1,9%</w:t>
            </w:r>
          </w:p>
        </w:tc>
      </w:tr>
      <w:tr w:rsidR="00985FAB" w:rsidRPr="00467EA2" w14:paraId="56F70E75" w14:textId="77777777" w:rsidTr="001E4B17">
        <w:trPr>
          <w:trHeight w:val="300"/>
        </w:trPr>
        <w:tc>
          <w:tcPr>
            <w:tcW w:w="419" w:type="dxa"/>
            <w:tcBorders>
              <w:top w:val="nil"/>
              <w:left w:val="double" w:sz="6" w:space="0" w:color="E26B0A"/>
              <w:bottom w:val="double" w:sz="6" w:space="0" w:color="E26B0A"/>
              <w:right w:val="double" w:sz="6" w:space="0" w:color="E26B0A"/>
            </w:tcBorders>
            <w:shd w:val="clear" w:color="auto" w:fill="auto"/>
            <w:noWrap/>
            <w:vAlign w:val="bottom"/>
            <w:hideMark/>
          </w:tcPr>
          <w:p w14:paraId="36C8D831" w14:textId="77777777" w:rsidR="00985FAB" w:rsidRPr="00467EA2" w:rsidRDefault="00985FAB" w:rsidP="00985FAB">
            <w:pPr>
              <w:jc w:val="center"/>
              <w:rPr>
                <w:rFonts w:eastAsia="Times New Roman" w:cs="Calibri"/>
                <w:sz w:val="20"/>
                <w:szCs w:val="20"/>
                <w:lang w:val="en-US"/>
              </w:rPr>
            </w:pPr>
            <w:r w:rsidRPr="00467EA2">
              <w:rPr>
                <w:rFonts w:eastAsia="Times New Roman" w:cs="Calibri"/>
                <w:sz w:val="20"/>
                <w:szCs w:val="20"/>
                <w:lang w:val="en-US"/>
              </w:rPr>
              <w:t>11</w:t>
            </w:r>
          </w:p>
        </w:tc>
        <w:tc>
          <w:tcPr>
            <w:tcW w:w="5393" w:type="dxa"/>
            <w:tcBorders>
              <w:top w:val="nil"/>
              <w:left w:val="nil"/>
              <w:bottom w:val="double" w:sz="6" w:space="0" w:color="E26B0A"/>
              <w:right w:val="double" w:sz="6" w:space="0" w:color="E26B0A"/>
            </w:tcBorders>
            <w:shd w:val="clear" w:color="auto" w:fill="auto"/>
            <w:noWrap/>
            <w:vAlign w:val="bottom"/>
            <w:hideMark/>
          </w:tcPr>
          <w:p w14:paraId="521A9ACE" w14:textId="77777777" w:rsidR="00985FAB" w:rsidRPr="00467EA2" w:rsidRDefault="00985FAB" w:rsidP="00985FAB">
            <w:pPr>
              <w:rPr>
                <w:rFonts w:eastAsia="Times New Roman" w:cs="Calibri"/>
                <w:sz w:val="20"/>
                <w:szCs w:val="20"/>
                <w:lang w:val="en-US"/>
              </w:rPr>
            </w:pPr>
            <w:r w:rsidRPr="00467EA2">
              <w:rPr>
                <w:rFonts w:eastAsia="Times New Roman" w:cs="Calibri"/>
                <w:sz w:val="20"/>
                <w:szCs w:val="20"/>
                <w:lang w:val="en-US"/>
              </w:rPr>
              <w:t>Краткосрочни задължения</w:t>
            </w:r>
          </w:p>
        </w:tc>
        <w:tc>
          <w:tcPr>
            <w:tcW w:w="1134" w:type="dxa"/>
            <w:tcBorders>
              <w:top w:val="nil"/>
              <w:left w:val="nil"/>
              <w:bottom w:val="double" w:sz="6" w:space="0" w:color="E26B0A"/>
              <w:right w:val="double" w:sz="6" w:space="0" w:color="E26B0A"/>
            </w:tcBorders>
            <w:shd w:val="clear" w:color="000000" w:fill="FDE9D9"/>
            <w:noWrap/>
            <w:vAlign w:val="bottom"/>
            <w:hideMark/>
          </w:tcPr>
          <w:p w14:paraId="61B1A3DB" w14:textId="77777777" w:rsidR="00985FAB" w:rsidRPr="00467EA2" w:rsidRDefault="00985FAB" w:rsidP="00985FAB">
            <w:pPr>
              <w:jc w:val="right"/>
              <w:rPr>
                <w:rFonts w:eastAsia="Times New Roman" w:cs="Calibri"/>
                <w:sz w:val="20"/>
                <w:szCs w:val="20"/>
                <w:lang w:val="en-US"/>
              </w:rPr>
            </w:pPr>
            <w:r w:rsidRPr="00467EA2">
              <w:rPr>
                <w:rFonts w:eastAsia="Times New Roman" w:cs="Calibri"/>
                <w:sz w:val="20"/>
                <w:szCs w:val="20"/>
                <w:lang w:val="en-US"/>
              </w:rPr>
              <w:t>250</w:t>
            </w:r>
          </w:p>
        </w:tc>
        <w:tc>
          <w:tcPr>
            <w:tcW w:w="992" w:type="dxa"/>
            <w:tcBorders>
              <w:top w:val="nil"/>
              <w:left w:val="nil"/>
              <w:bottom w:val="double" w:sz="6" w:space="0" w:color="E26B0A"/>
              <w:right w:val="double" w:sz="6" w:space="0" w:color="E26B0A"/>
            </w:tcBorders>
            <w:shd w:val="clear" w:color="000000" w:fill="FDE9D9"/>
            <w:noWrap/>
            <w:vAlign w:val="bottom"/>
            <w:hideMark/>
          </w:tcPr>
          <w:p w14:paraId="76E7EC49" w14:textId="77777777" w:rsidR="00985FAB" w:rsidRPr="00467EA2" w:rsidRDefault="00985FAB" w:rsidP="00985FAB">
            <w:pPr>
              <w:jc w:val="right"/>
              <w:rPr>
                <w:rFonts w:eastAsia="Times New Roman" w:cs="Calibri"/>
                <w:sz w:val="20"/>
                <w:szCs w:val="20"/>
                <w:lang w:val="en-US"/>
              </w:rPr>
            </w:pPr>
            <w:r w:rsidRPr="00467EA2">
              <w:rPr>
                <w:rFonts w:eastAsia="Times New Roman" w:cs="Calibri"/>
                <w:sz w:val="20"/>
                <w:szCs w:val="20"/>
                <w:lang w:val="en-US"/>
              </w:rPr>
              <w:t>221</w:t>
            </w:r>
          </w:p>
        </w:tc>
        <w:tc>
          <w:tcPr>
            <w:tcW w:w="993" w:type="dxa"/>
            <w:tcBorders>
              <w:top w:val="nil"/>
              <w:left w:val="nil"/>
              <w:bottom w:val="double" w:sz="6" w:space="0" w:color="E26B0A"/>
              <w:right w:val="double" w:sz="6" w:space="0" w:color="E26B0A"/>
            </w:tcBorders>
            <w:shd w:val="clear" w:color="000000" w:fill="FABF8F"/>
            <w:noWrap/>
            <w:vAlign w:val="bottom"/>
            <w:hideMark/>
          </w:tcPr>
          <w:p w14:paraId="3A60A3A8" w14:textId="77777777" w:rsidR="00985FAB" w:rsidRPr="00467EA2" w:rsidRDefault="00985FAB" w:rsidP="00985FAB">
            <w:pPr>
              <w:jc w:val="right"/>
              <w:rPr>
                <w:rFonts w:eastAsia="Times New Roman" w:cs="Calibri"/>
                <w:sz w:val="20"/>
                <w:szCs w:val="20"/>
                <w:lang w:val="en-US"/>
              </w:rPr>
            </w:pPr>
            <w:r w:rsidRPr="00467EA2">
              <w:rPr>
                <w:rFonts w:eastAsia="Times New Roman" w:cs="Calibri"/>
                <w:sz w:val="20"/>
                <w:szCs w:val="20"/>
                <w:lang w:val="en-US"/>
              </w:rPr>
              <w:t>29</w:t>
            </w:r>
          </w:p>
        </w:tc>
        <w:tc>
          <w:tcPr>
            <w:tcW w:w="992" w:type="dxa"/>
            <w:tcBorders>
              <w:top w:val="nil"/>
              <w:left w:val="nil"/>
              <w:bottom w:val="double" w:sz="6" w:space="0" w:color="E26B0A"/>
              <w:right w:val="double" w:sz="6" w:space="0" w:color="E26B0A"/>
            </w:tcBorders>
            <w:shd w:val="clear" w:color="000000" w:fill="FABF8F"/>
            <w:noWrap/>
            <w:vAlign w:val="bottom"/>
            <w:hideMark/>
          </w:tcPr>
          <w:p w14:paraId="287336AE" w14:textId="77777777" w:rsidR="00985FAB" w:rsidRPr="00467EA2" w:rsidRDefault="00985FAB" w:rsidP="00985FAB">
            <w:pPr>
              <w:jc w:val="right"/>
              <w:rPr>
                <w:rFonts w:eastAsia="Times New Roman" w:cs="Calibri"/>
                <w:sz w:val="20"/>
                <w:szCs w:val="20"/>
                <w:lang w:val="en-US"/>
              </w:rPr>
            </w:pPr>
            <w:r w:rsidRPr="00467EA2">
              <w:rPr>
                <w:rFonts w:eastAsia="Times New Roman" w:cs="Calibri"/>
                <w:sz w:val="20"/>
                <w:szCs w:val="20"/>
                <w:lang w:val="en-US"/>
              </w:rPr>
              <w:t>13,1%</w:t>
            </w:r>
          </w:p>
        </w:tc>
      </w:tr>
      <w:tr w:rsidR="00985FAB" w:rsidRPr="00467EA2" w14:paraId="3B5BB1CE" w14:textId="77777777" w:rsidTr="001E4B17">
        <w:trPr>
          <w:trHeight w:val="300"/>
        </w:trPr>
        <w:tc>
          <w:tcPr>
            <w:tcW w:w="419" w:type="dxa"/>
            <w:tcBorders>
              <w:top w:val="nil"/>
              <w:left w:val="double" w:sz="6" w:space="0" w:color="E26B0A"/>
              <w:bottom w:val="double" w:sz="6" w:space="0" w:color="E26B0A"/>
              <w:right w:val="double" w:sz="6" w:space="0" w:color="E26B0A"/>
            </w:tcBorders>
            <w:shd w:val="clear" w:color="auto" w:fill="auto"/>
            <w:noWrap/>
            <w:vAlign w:val="bottom"/>
            <w:hideMark/>
          </w:tcPr>
          <w:p w14:paraId="5EF2957D" w14:textId="77777777" w:rsidR="00985FAB" w:rsidRPr="00467EA2" w:rsidRDefault="00985FAB" w:rsidP="00985FAB">
            <w:pPr>
              <w:jc w:val="center"/>
              <w:rPr>
                <w:rFonts w:eastAsia="Times New Roman" w:cs="Calibri"/>
                <w:sz w:val="20"/>
                <w:szCs w:val="20"/>
                <w:lang w:val="en-US"/>
              </w:rPr>
            </w:pPr>
            <w:r w:rsidRPr="00467EA2">
              <w:rPr>
                <w:rFonts w:eastAsia="Times New Roman" w:cs="Calibri"/>
                <w:sz w:val="20"/>
                <w:szCs w:val="20"/>
                <w:lang w:val="en-US"/>
              </w:rPr>
              <w:t>12</w:t>
            </w:r>
          </w:p>
        </w:tc>
        <w:tc>
          <w:tcPr>
            <w:tcW w:w="5393" w:type="dxa"/>
            <w:tcBorders>
              <w:top w:val="nil"/>
              <w:left w:val="nil"/>
              <w:bottom w:val="double" w:sz="6" w:space="0" w:color="E26B0A"/>
              <w:right w:val="double" w:sz="6" w:space="0" w:color="E26B0A"/>
            </w:tcBorders>
            <w:shd w:val="clear" w:color="auto" w:fill="auto"/>
            <w:noWrap/>
            <w:vAlign w:val="bottom"/>
            <w:hideMark/>
          </w:tcPr>
          <w:p w14:paraId="1B5DC756" w14:textId="77777777" w:rsidR="00985FAB" w:rsidRPr="00467EA2" w:rsidRDefault="00985FAB" w:rsidP="00985FAB">
            <w:pPr>
              <w:rPr>
                <w:rFonts w:eastAsia="Times New Roman" w:cs="Calibri"/>
                <w:sz w:val="20"/>
                <w:szCs w:val="20"/>
                <w:lang w:val="en-US"/>
              </w:rPr>
            </w:pPr>
            <w:r w:rsidRPr="00467EA2">
              <w:rPr>
                <w:rFonts w:eastAsia="Times New Roman" w:cs="Calibri"/>
                <w:sz w:val="20"/>
                <w:szCs w:val="20"/>
                <w:lang w:val="en-US"/>
              </w:rPr>
              <w:t>Краткосрочни вземания</w:t>
            </w:r>
          </w:p>
        </w:tc>
        <w:tc>
          <w:tcPr>
            <w:tcW w:w="1134" w:type="dxa"/>
            <w:tcBorders>
              <w:top w:val="nil"/>
              <w:left w:val="nil"/>
              <w:bottom w:val="double" w:sz="6" w:space="0" w:color="E26B0A"/>
              <w:right w:val="double" w:sz="6" w:space="0" w:color="E26B0A"/>
            </w:tcBorders>
            <w:shd w:val="clear" w:color="000000" w:fill="FDE9D9"/>
            <w:noWrap/>
            <w:vAlign w:val="bottom"/>
            <w:hideMark/>
          </w:tcPr>
          <w:p w14:paraId="77B4E96F" w14:textId="77777777" w:rsidR="00985FAB" w:rsidRPr="00467EA2" w:rsidRDefault="00985FAB" w:rsidP="00985FAB">
            <w:pPr>
              <w:jc w:val="right"/>
              <w:rPr>
                <w:rFonts w:eastAsia="Times New Roman" w:cs="Calibri"/>
                <w:sz w:val="20"/>
                <w:szCs w:val="20"/>
                <w:lang w:val="en-US"/>
              </w:rPr>
            </w:pPr>
            <w:r w:rsidRPr="00467EA2">
              <w:rPr>
                <w:rFonts w:eastAsia="Times New Roman" w:cs="Calibri"/>
                <w:sz w:val="20"/>
                <w:szCs w:val="20"/>
                <w:lang w:val="en-US"/>
              </w:rPr>
              <w:t>160</w:t>
            </w:r>
          </w:p>
        </w:tc>
        <w:tc>
          <w:tcPr>
            <w:tcW w:w="992" w:type="dxa"/>
            <w:tcBorders>
              <w:top w:val="nil"/>
              <w:left w:val="nil"/>
              <w:bottom w:val="double" w:sz="6" w:space="0" w:color="E26B0A"/>
              <w:right w:val="double" w:sz="6" w:space="0" w:color="E26B0A"/>
            </w:tcBorders>
            <w:shd w:val="clear" w:color="000000" w:fill="FDE9D9"/>
            <w:noWrap/>
            <w:vAlign w:val="bottom"/>
            <w:hideMark/>
          </w:tcPr>
          <w:p w14:paraId="726C3431" w14:textId="77777777" w:rsidR="00985FAB" w:rsidRPr="00467EA2" w:rsidRDefault="00985FAB" w:rsidP="00985FAB">
            <w:pPr>
              <w:jc w:val="right"/>
              <w:rPr>
                <w:rFonts w:eastAsia="Times New Roman" w:cs="Calibri"/>
                <w:sz w:val="20"/>
                <w:szCs w:val="20"/>
                <w:lang w:val="en-US"/>
              </w:rPr>
            </w:pPr>
            <w:r w:rsidRPr="00467EA2">
              <w:rPr>
                <w:rFonts w:eastAsia="Times New Roman" w:cs="Calibri"/>
                <w:sz w:val="20"/>
                <w:szCs w:val="20"/>
                <w:lang w:val="en-US"/>
              </w:rPr>
              <w:t>157</w:t>
            </w:r>
          </w:p>
        </w:tc>
        <w:tc>
          <w:tcPr>
            <w:tcW w:w="993" w:type="dxa"/>
            <w:tcBorders>
              <w:top w:val="nil"/>
              <w:left w:val="nil"/>
              <w:bottom w:val="double" w:sz="6" w:space="0" w:color="E26B0A"/>
              <w:right w:val="double" w:sz="6" w:space="0" w:color="E26B0A"/>
            </w:tcBorders>
            <w:shd w:val="clear" w:color="000000" w:fill="FABF8F"/>
            <w:noWrap/>
            <w:vAlign w:val="bottom"/>
            <w:hideMark/>
          </w:tcPr>
          <w:p w14:paraId="3C1B3928" w14:textId="77777777" w:rsidR="00985FAB" w:rsidRPr="00467EA2" w:rsidRDefault="00985FAB" w:rsidP="00985FAB">
            <w:pPr>
              <w:jc w:val="right"/>
              <w:rPr>
                <w:rFonts w:eastAsia="Times New Roman" w:cs="Calibri"/>
                <w:sz w:val="20"/>
                <w:szCs w:val="20"/>
                <w:lang w:val="en-US"/>
              </w:rPr>
            </w:pPr>
            <w:r w:rsidRPr="00467EA2">
              <w:rPr>
                <w:rFonts w:eastAsia="Times New Roman" w:cs="Calibri"/>
                <w:sz w:val="20"/>
                <w:szCs w:val="20"/>
                <w:lang w:val="en-US"/>
              </w:rPr>
              <w:t>3</w:t>
            </w:r>
          </w:p>
        </w:tc>
        <w:tc>
          <w:tcPr>
            <w:tcW w:w="992" w:type="dxa"/>
            <w:tcBorders>
              <w:top w:val="nil"/>
              <w:left w:val="nil"/>
              <w:bottom w:val="double" w:sz="6" w:space="0" w:color="E26B0A"/>
              <w:right w:val="double" w:sz="6" w:space="0" w:color="E26B0A"/>
            </w:tcBorders>
            <w:shd w:val="clear" w:color="000000" w:fill="FABF8F"/>
            <w:noWrap/>
            <w:vAlign w:val="bottom"/>
            <w:hideMark/>
          </w:tcPr>
          <w:p w14:paraId="7B6C8905" w14:textId="77777777" w:rsidR="00985FAB" w:rsidRPr="00467EA2" w:rsidRDefault="00985FAB" w:rsidP="00985FAB">
            <w:pPr>
              <w:jc w:val="right"/>
              <w:rPr>
                <w:rFonts w:eastAsia="Times New Roman" w:cs="Calibri"/>
                <w:sz w:val="20"/>
                <w:szCs w:val="20"/>
                <w:lang w:val="en-US"/>
              </w:rPr>
            </w:pPr>
            <w:r w:rsidRPr="00467EA2">
              <w:rPr>
                <w:rFonts w:eastAsia="Times New Roman" w:cs="Calibri"/>
                <w:sz w:val="20"/>
                <w:szCs w:val="20"/>
                <w:lang w:val="en-US"/>
              </w:rPr>
              <w:t>1,9%</w:t>
            </w:r>
          </w:p>
        </w:tc>
      </w:tr>
      <w:tr w:rsidR="00985FAB" w:rsidRPr="00467EA2" w14:paraId="7E204971" w14:textId="77777777" w:rsidTr="001E4B17">
        <w:trPr>
          <w:trHeight w:val="300"/>
        </w:trPr>
        <w:tc>
          <w:tcPr>
            <w:tcW w:w="419" w:type="dxa"/>
            <w:tcBorders>
              <w:top w:val="nil"/>
              <w:left w:val="double" w:sz="6" w:space="0" w:color="E26B0A"/>
              <w:bottom w:val="double" w:sz="6" w:space="0" w:color="E26B0A"/>
              <w:right w:val="double" w:sz="6" w:space="0" w:color="E26B0A"/>
            </w:tcBorders>
            <w:shd w:val="clear" w:color="auto" w:fill="auto"/>
            <w:noWrap/>
            <w:vAlign w:val="bottom"/>
            <w:hideMark/>
          </w:tcPr>
          <w:p w14:paraId="47C10AB2" w14:textId="77777777" w:rsidR="00985FAB" w:rsidRPr="00467EA2" w:rsidRDefault="00985FAB" w:rsidP="00985FAB">
            <w:pPr>
              <w:jc w:val="center"/>
              <w:rPr>
                <w:rFonts w:eastAsia="Times New Roman" w:cs="Calibri"/>
                <w:sz w:val="20"/>
                <w:szCs w:val="20"/>
                <w:lang w:val="en-US"/>
              </w:rPr>
            </w:pPr>
            <w:r w:rsidRPr="00467EA2">
              <w:rPr>
                <w:rFonts w:eastAsia="Times New Roman" w:cs="Calibri"/>
                <w:sz w:val="20"/>
                <w:szCs w:val="20"/>
                <w:lang w:val="en-US"/>
              </w:rPr>
              <w:t>13</w:t>
            </w:r>
          </w:p>
        </w:tc>
        <w:tc>
          <w:tcPr>
            <w:tcW w:w="5393" w:type="dxa"/>
            <w:tcBorders>
              <w:top w:val="nil"/>
              <w:left w:val="nil"/>
              <w:bottom w:val="double" w:sz="6" w:space="0" w:color="E26B0A"/>
              <w:right w:val="double" w:sz="6" w:space="0" w:color="E26B0A"/>
            </w:tcBorders>
            <w:shd w:val="clear" w:color="auto" w:fill="auto"/>
            <w:noWrap/>
            <w:vAlign w:val="bottom"/>
            <w:hideMark/>
          </w:tcPr>
          <w:p w14:paraId="53C426DB" w14:textId="77777777" w:rsidR="00985FAB" w:rsidRPr="00467EA2" w:rsidRDefault="00985FAB" w:rsidP="00985FAB">
            <w:pPr>
              <w:rPr>
                <w:rFonts w:eastAsia="Times New Roman" w:cs="Calibri"/>
                <w:sz w:val="20"/>
                <w:szCs w:val="20"/>
                <w:lang w:val="en-US"/>
              </w:rPr>
            </w:pPr>
            <w:r w:rsidRPr="00467EA2">
              <w:rPr>
                <w:rFonts w:eastAsia="Times New Roman" w:cs="Calibri"/>
                <w:sz w:val="20"/>
                <w:szCs w:val="20"/>
                <w:lang w:val="en-US"/>
              </w:rPr>
              <w:t>Краткосрочни финансови активи (без парични средства)</w:t>
            </w:r>
          </w:p>
        </w:tc>
        <w:tc>
          <w:tcPr>
            <w:tcW w:w="1134" w:type="dxa"/>
            <w:tcBorders>
              <w:top w:val="nil"/>
              <w:left w:val="nil"/>
              <w:bottom w:val="double" w:sz="6" w:space="0" w:color="E26B0A"/>
              <w:right w:val="double" w:sz="6" w:space="0" w:color="E26B0A"/>
            </w:tcBorders>
            <w:shd w:val="clear" w:color="000000" w:fill="FDE9D9"/>
            <w:noWrap/>
            <w:vAlign w:val="bottom"/>
            <w:hideMark/>
          </w:tcPr>
          <w:p w14:paraId="27137162" w14:textId="77777777" w:rsidR="00985FAB" w:rsidRPr="00467EA2" w:rsidRDefault="00985FAB" w:rsidP="00985FAB">
            <w:pPr>
              <w:rPr>
                <w:rFonts w:eastAsia="Times New Roman" w:cs="Calibri"/>
                <w:sz w:val="20"/>
                <w:szCs w:val="20"/>
                <w:lang w:val="en-US"/>
              </w:rPr>
            </w:pPr>
            <w:r w:rsidRPr="00467EA2">
              <w:rPr>
                <w:rFonts w:eastAsia="Times New Roman" w:cs="Calibri"/>
                <w:sz w:val="20"/>
                <w:szCs w:val="20"/>
                <w:lang w:val="en-US"/>
              </w:rPr>
              <w:t> </w:t>
            </w:r>
          </w:p>
        </w:tc>
        <w:tc>
          <w:tcPr>
            <w:tcW w:w="992" w:type="dxa"/>
            <w:tcBorders>
              <w:top w:val="nil"/>
              <w:left w:val="nil"/>
              <w:bottom w:val="double" w:sz="6" w:space="0" w:color="E26B0A"/>
              <w:right w:val="double" w:sz="6" w:space="0" w:color="E26B0A"/>
            </w:tcBorders>
            <w:shd w:val="clear" w:color="000000" w:fill="FDE9D9"/>
            <w:noWrap/>
            <w:vAlign w:val="bottom"/>
            <w:hideMark/>
          </w:tcPr>
          <w:p w14:paraId="2FF17D91" w14:textId="77777777" w:rsidR="00985FAB" w:rsidRPr="00467EA2" w:rsidRDefault="00985FAB" w:rsidP="00985FAB">
            <w:pPr>
              <w:jc w:val="right"/>
              <w:rPr>
                <w:rFonts w:eastAsia="Times New Roman" w:cs="Calibri"/>
                <w:sz w:val="20"/>
                <w:szCs w:val="20"/>
                <w:lang w:val="en-US"/>
              </w:rPr>
            </w:pPr>
            <w:r w:rsidRPr="00467EA2">
              <w:rPr>
                <w:rFonts w:eastAsia="Times New Roman" w:cs="Calibri"/>
                <w:sz w:val="20"/>
                <w:szCs w:val="20"/>
                <w:lang w:val="en-US"/>
              </w:rPr>
              <w:t>0</w:t>
            </w:r>
          </w:p>
        </w:tc>
        <w:tc>
          <w:tcPr>
            <w:tcW w:w="993" w:type="dxa"/>
            <w:tcBorders>
              <w:top w:val="nil"/>
              <w:left w:val="nil"/>
              <w:bottom w:val="double" w:sz="6" w:space="0" w:color="E26B0A"/>
              <w:right w:val="double" w:sz="6" w:space="0" w:color="E26B0A"/>
            </w:tcBorders>
            <w:shd w:val="clear" w:color="000000" w:fill="FABF8F"/>
            <w:noWrap/>
            <w:vAlign w:val="bottom"/>
            <w:hideMark/>
          </w:tcPr>
          <w:p w14:paraId="5E6AE9A8" w14:textId="77777777" w:rsidR="00985FAB" w:rsidRPr="00467EA2" w:rsidRDefault="00985FAB" w:rsidP="00985FAB">
            <w:pPr>
              <w:jc w:val="right"/>
              <w:rPr>
                <w:rFonts w:eastAsia="Times New Roman" w:cs="Calibri"/>
                <w:sz w:val="20"/>
                <w:szCs w:val="20"/>
                <w:lang w:val="en-US"/>
              </w:rPr>
            </w:pPr>
            <w:r w:rsidRPr="00467EA2">
              <w:rPr>
                <w:rFonts w:eastAsia="Times New Roman" w:cs="Calibri"/>
                <w:sz w:val="20"/>
                <w:szCs w:val="20"/>
                <w:lang w:val="en-US"/>
              </w:rPr>
              <w:t>0</w:t>
            </w:r>
          </w:p>
        </w:tc>
        <w:tc>
          <w:tcPr>
            <w:tcW w:w="992" w:type="dxa"/>
            <w:tcBorders>
              <w:top w:val="nil"/>
              <w:left w:val="nil"/>
              <w:bottom w:val="double" w:sz="6" w:space="0" w:color="E26B0A"/>
              <w:right w:val="double" w:sz="6" w:space="0" w:color="E26B0A"/>
            </w:tcBorders>
            <w:shd w:val="clear" w:color="000000" w:fill="FABF8F"/>
            <w:noWrap/>
            <w:vAlign w:val="bottom"/>
            <w:hideMark/>
          </w:tcPr>
          <w:p w14:paraId="4692C4E5" w14:textId="77777777" w:rsidR="00985FAB" w:rsidRPr="00467EA2" w:rsidRDefault="00985FAB" w:rsidP="00985FAB">
            <w:pPr>
              <w:jc w:val="right"/>
              <w:rPr>
                <w:rFonts w:eastAsia="Times New Roman" w:cs="Calibri"/>
                <w:sz w:val="20"/>
                <w:szCs w:val="20"/>
                <w:lang w:val="en-US"/>
              </w:rPr>
            </w:pPr>
            <w:r w:rsidRPr="00467EA2">
              <w:rPr>
                <w:rFonts w:eastAsia="Times New Roman" w:cs="Calibri"/>
                <w:sz w:val="20"/>
                <w:szCs w:val="20"/>
                <w:lang w:val="en-US"/>
              </w:rPr>
              <w:t>0,0%</w:t>
            </w:r>
          </w:p>
        </w:tc>
      </w:tr>
      <w:tr w:rsidR="001E4B17" w:rsidRPr="00467EA2" w14:paraId="18802DAB" w14:textId="77777777" w:rsidTr="001E4B17">
        <w:trPr>
          <w:trHeight w:val="300"/>
        </w:trPr>
        <w:tc>
          <w:tcPr>
            <w:tcW w:w="419" w:type="dxa"/>
            <w:tcBorders>
              <w:top w:val="nil"/>
              <w:left w:val="double" w:sz="6" w:space="0" w:color="E26B0A"/>
              <w:bottom w:val="double" w:sz="6" w:space="0" w:color="E26B0A"/>
              <w:right w:val="double" w:sz="6" w:space="0" w:color="E26B0A"/>
            </w:tcBorders>
            <w:shd w:val="clear" w:color="auto" w:fill="auto"/>
            <w:noWrap/>
            <w:vAlign w:val="bottom"/>
            <w:hideMark/>
          </w:tcPr>
          <w:p w14:paraId="37AE72AE" w14:textId="77777777" w:rsidR="001E4B17" w:rsidRPr="00467EA2" w:rsidRDefault="001E4B17" w:rsidP="00985FAB">
            <w:pPr>
              <w:jc w:val="center"/>
              <w:rPr>
                <w:rFonts w:eastAsia="Times New Roman" w:cs="Calibri"/>
                <w:sz w:val="20"/>
                <w:szCs w:val="20"/>
                <w:lang w:val="en-US"/>
              </w:rPr>
            </w:pPr>
            <w:r w:rsidRPr="00467EA2">
              <w:rPr>
                <w:rFonts w:eastAsia="Times New Roman" w:cs="Calibri"/>
                <w:sz w:val="20"/>
                <w:szCs w:val="20"/>
                <w:lang w:val="en-US"/>
              </w:rPr>
              <w:t>14</w:t>
            </w:r>
          </w:p>
        </w:tc>
        <w:tc>
          <w:tcPr>
            <w:tcW w:w="5393" w:type="dxa"/>
            <w:tcBorders>
              <w:top w:val="nil"/>
              <w:left w:val="nil"/>
              <w:bottom w:val="double" w:sz="6" w:space="0" w:color="E26B0A"/>
              <w:right w:val="double" w:sz="6" w:space="0" w:color="E26B0A"/>
            </w:tcBorders>
            <w:shd w:val="clear" w:color="auto" w:fill="auto"/>
            <w:noWrap/>
            <w:vAlign w:val="bottom"/>
            <w:hideMark/>
          </w:tcPr>
          <w:p w14:paraId="3A725627" w14:textId="77777777" w:rsidR="001E4B17" w:rsidRPr="00467EA2" w:rsidRDefault="001E4B17" w:rsidP="00985FAB">
            <w:pPr>
              <w:rPr>
                <w:rFonts w:eastAsia="Times New Roman" w:cs="Calibri"/>
                <w:sz w:val="20"/>
                <w:szCs w:val="20"/>
                <w:lang w:val="en-US"/>
              </w:rPr>
            </w:pPr>
            <w:r w:rsidRPr="00467EA2">
              <w:rPr>
                <w:rFonts w:eastAsia="Times New Roman" w:cs="Calibri"/>
                <w:sz w:val="20"/>
                <w:szCs w:val="20"/>
                <w:lang w:val="en-US"/>
              </w:rPr>
              <w:t>Парични средства</w:t>
            </w:r>
          </w:p>
        </w:tc>
        <w:tc>
          <w:tcPr>
            <w:tcW w:w="1134" w:type="dxa"/>
            <w:tcBorders>
              <w:top w:val="nil"/>
              <w:left w:val="nil"/>
              <w:bottom w:val="double" w:sz="6" w:space="0" w:color="E26B0A"/>
              <w:right w:val="double" w:sz="6" w:space="0" w:color="E26B0A"/>
            </w:tcBorders>
            <w:shd w:val="clear" w:color="000000" w:fill="FDE9D9"/>
            <w:noWrap/>
            <w:vAlign w:val="bottom"/>
            <w:hideMark/>
          </w:tcPr>
          <w:p w14:paraId="4F5FE0F2"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280</w:t>
            </w:r>
          </w:p>
        </w:tc>
        <w:tc>
          <w:tcPr>
            <w:tcW w:w="992" w:type="dxa"/>
            <w:tcBorders>
              <w:top w:val="nil"/>
              <w:left w:val="nil"/>
              <w:bottom w:val="double" w:sz="6" w:space="0" w:color="E26B0A"/>
              <w:right w:val="double" w:sz="6" w:space="0" w:color="E26B0A"/>
            </w:tcBorders>
            <w:shd w:val="clear" w:color="000000" w:fill="FDE9D9"/>
            <w:noWrap/>
            <w:vAlign w:val="bottom"/>
            <w:hideMark/>
          </w:tcPr>
          <w:p w14:paraId="2C458865"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249</w:t>
            </w:r>
          </w:p>
        </w:tc>
        <w:tc>
          <w:tcPr>
            <w:tcW w:w="993" w:type="dxa"/>
            <w:tcBorders>
              <w:top w:val="nil"/>
              <w:left w:val="nil"/>
              <w:bottom w:val="double" w:sz="6" w:space="0" w:color="E26B0A"/>
              <w:right w:val="double" w:sz="6" w:space="0" w:color="E26B0A"/>
            </w:tcBorders>
            <w:shd w:val="clear" w:color="000000" w:fill="FABF8F"/>
            <w:noWrap/>
            <w:vAlign w:val="bottom"/>
            <w:hideMark/>
          </w:tcPr>
          <w:p w14:paraId="028E546D"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31</w:t>
            </w:r>
          </w:p>
        </w:tc>
        <w:tc>
          <w:tcPr>
            <w:tcW w:w="992" w:type="dxa"/>
            <w:tcBorders>
              <w:top w:val="nil"/>
              <w:left w:val="nil"/>
              <w:bottom w:val="double" w:sz="6" w:space="0" w:color="E26B0A"/>
              <w:right w:val="double" w:sz="6" w:space="0" w:color="E26B0A"/>
            </w:tcBorders>
            <w:shd w:val="clear" w:color="000000" w:fill="FABF8F"/>
            <w:noWrap/>
            <w:vAlign w:val="bottom"/>
            <w:hideMark/>
          </w:tcPr>
          <w:p w14:paraId="294982E3"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12,4%</w:t>
            </w:r>
          </w:p>
        </w:tc>
      </w:tr>
      <w:tr w:rsidR="001E4B17" w:rsidRPr="00467EA2" w14:paraId="4768C590" w14:textId="77777777" w:rsidTr="001E4B17">
        <w:trPr>
          <w:trHeight w:val="300"/>
        </w:trPr>
        <w:tc>
          <w:tcPr>
            <w:tcW w:w="419" w:type="dxa"/>
            <w:tcBorders>
              <w:top w:val="nil"/>
              <w:left w:val="double" w:sz="6" w:space="0" w:color="E26B0A"/>
              <w:bottom w:val="double" w:sz="6" w:space="0" w:color="E26B0A"/>
              <w:right w:val="double" w:sz="6" w:space="0" w:color="E26B0A"/>
            </w:tcBorders>
            <w:shd w:val="clear" w:color="auto" w:fill="auto"/>
            <w:noWrap/>
            <w:vAlign w:val="bottom"/>
            <w:hideMark/>
          </w:tcPr>
          <w:p w14:paraId="0864B1B2" w14:textId="77777777" w:rsidR="001E4B17" w:rsidRPr="00467EA2" w:rsidRDefault="001E4B17" w:rsidP="00985FAB">
            <w:pPr>
              <w:jc w:val="center"/>
              <w:rPr>
                <w:rFonts w:eastAsia="Times New Roman" w:cs="Calibri"/>
                <w:sz w:val="20"/>
                <w:szCs w:val="20"/>
                <w:lang w:val="en-US"/>
              </w:rPr>
            </w:pPr>
            <w:r w:rsidRPr="00467EA2">
              <w:rPr>
                <w:rFonts w:eastAsia="Times New Roman" w:cs="Calibri"/>
                <w:sz w:val="20"/>
                <w:szCs w:val="20"/>
                <w:lang w:val="en-US"/>
              </w:rPr>
              <w:lastRenderedPageBreak/>
              <w:t>15</w:t>
            </w:r>
          </w:p>
        </w:tc>
        <w:tc>
          <w:tcPr>
            <w:tcW w:w="5393" w:type="dxa"/>
            <w:tcBorders>
              <w:top w:val="nil"/>
              <w:left w:val="nil"/>
              <w:bottom w:val="double" w:sz="6" w:space="0" w:color="E26B0A"/>
              <w:right w:val="double" w:sz="6" w:space="0" w:color="E26B0A"/>
            </w:tcBorders>
            <w:shd w:val="clear" w:color="auto" w:fill="auto"/>
            <w:noWrap/>
            <w:vAlign w:val="bottom"/>
            <w:hideMark/>
          </w:tcPr>
          <w:p w14:paraId="1A01B276" w14:textId="77777777" w:rsidR="001E4B17" w:rsidRPr="00467EA2" w:rsidRDefault="001E4B17" w:rsidP="00985FAB">
            <w:pPr>
              <w:rPr>
                <w:rFonts w:eastAsia="Times New Roman" w:cs="Calibri"/>
                <w:sz w:val="20"/>
                <w:szCs w:val="20"/>
                <w:lang w:val="en-US"/>
              </w:rPr>
            </w:pPr>
            <w:r w:rsidRPr="00467EA2">
              <w:rPr>
                <w:rFonts w:eastAsia="Times New Roman" w:cs="Calibri"/>
                <w:sz w:val="20"/>
                <w:szCs w:val="20"/>
                <w:lang w:val="en-US"/>
              </w:rPr>
              <w:t>Материални запаси</w:t>
            </w:r>
          </w:p>
        </w:tc>
        <w:tc>
          <w:tcPr>
            <w:tcW w:w="1134" w:type="dxa"/>
            <w:tcBorders>
              <w:top w:val="nil"/>
              <w:left w:val="nil"/>
              <w:bottom w:val="double" w:sz="6" w:space="0" w:color="E26B0A"/>
              <w:right w:val="double" w:sz="6" w:space="0" w:color="E26B0A"/>
            </w:tcBorders>
            <w:shd w:val="clear" w:color="000000" w:fill="FDE9D9"/>
            <w:noWrap/>
            <w:vAlign w:val="bottom"/>
            <w:hideMark/>
          </w:tcPr>
          <w:p w14:paraId="4E282691"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15</w:t>
            </w:r>
          </w:p>
        </w:tc>
        <w:tc>
          <w:tcPr>
            <w:tcW w:w="992" w:type="dxa"/>
            <w:tcBorders>
              <w:top w:val="nil"/>
              <w:left w:val="nil"/>
              <w:bottom w:val="double" w:sz="6" w:space="0" w:color="E26B0A"/>
              <w:right w:val="double" w:sz="6" w:space="0" w:color="E26B0A"/>
            </w:tcBorders>
            <w:shd w:val="clear" w:color="000000" w:fill="FDE9D9"/>
            <w:noWrap/>
            <w:vAlign w:val="bottom"/>
            <w:hideMark/>
          </w:tcPr>
          <w:p w14:paraId="755C7060"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16</w:t>
            </w:r>
          </w:p>
        </w:tc>
        <w:tc>
          <w:tcPr>
            <w:tcW w:w="993" w:type="dxa"/>
            <w:tcBorders>
              <w:top w:val="nil"/>
              <w:left w:val="nil"/>
              <w:bottom w:val="double" w:sz="6" w:space="0" w:color="E26B0A"/>
              <w:right w:val="double" w:sz="6" w:space="0" w:color="E26B0A"/>
            </w:tcBorders>
            <w:shd w:val="clear" w:color="000000" w:fill="FABF8F"/>
            <w:noWrap/>
            <w:vAlign w:val="bottom"/>
            <w:hideMark/>
          </w:tcPr>
          <w:p w14:paraId="764FFBB2"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-1</w:t>
            </w:r>
          </w:p>
        </w:tc>
        <w:tc>
          <w:tcPr>
            <w:tcW w:w="992" w:type="dxa"/>
            <w:tcBorders>
              <w:top w:val="nil"/>
              <w:left w:val="nil"/>
              <w:bottom w:val="double" w:sz="6" w:space="0" w:color="E26B0A"/>
              <w:right w:val="double" w:sz="6" w:space="0" w:color="E26B0A"/>
            </w:tcBorders>
            <w:shd w:val="clear" w:color="000000" w:fill="FABF8F"/>
            <w:noWrap/>
            <w:vAlign w:val="bottom"/>
            <w:hideMark/>
          </w:tcPr>
          <w:p w14:paraId="7577E05C"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-6,3%</w:t>
            </w:r>
          </w:p>
        </w:tc>
      </w:tr>
      <w:tr w:rsidR="001E4B17" w:rsidRPr="00467EA2" w14:paraId="7DDE11BB" w14:textId="77777777" w:rsidTr="001E4B17">
        <w:trPr>
          <w:trHeight w:val="300"/>
        </w:trPr>
        <w:tc>
          <w:tcPr>
            <w:tcW w:w="419" w:type="dxa"/>
            <w:tcBorders>
              <w:top w:val="nil"/>
              <w:left w:val="double" w:sz="6" w:space="0" w:color="E26B0A"/>
              <w:bottom w:val="double" w:sz="6" w:space="0" w:color="E26B0A"/>
              <w:right w:val="double" w:sz="6" w:space="0" w:color="E26B0A"/>
            </w:tcBorders>
            <w:shd w:val="clear" w:color="auto" w:fill="auto"/>
            <w:noWrap/>
            <w:vAlign w:val="bottom"/>
            <w:hideMark/>
          </w:tcPr>
          <w:p w14:paraId="19700CDE" w14:textId="77777777" w:rsidR="001E4B17" w:rsidRPr="00467EA2" w:rsidRDefault="001E4B17" w:rsidP="00985FAB">
            <w:pPr>
              <w:jc w:val="center"/>
              <w:rPr>
                <w:rFonts w:eastAsia="Times New Roman" w:cs="Calibri"/>
                <w:sz w:val="20"/>
                <w:szCs w:val="20"/>
                <w:lang w:val="en-US"/>
              </w:rPr>
            </w:pPr>
            <w:r w:rsidRPr="00467EA2">
              <w:rPr>
                <w:rFonts w:eastAsia="Times New Roman" w:cs="Calibri"/>
                <w:sz w:val="20"/>
                <w:szCs w:val="20"/>
                <w:lang w:val="en-US"/>
              </w:rPr>
              <w:t>16</w:t>
            </w:r>
          </w:p>
        </w:tc>
        <w:tc>
          <w:tcPr>
            <w:tcW w:w="5393" w:type="dxa"/>
            <w:tcBorders>
              <w:top w:val="nil"/>
              <w:left w:val="nil"/>
              <w:bottom w:val="double" w:sz="6" w:space="0" w:color="E26B0A"/>
              <w:right w:val="double" w:sz="6" w:space="0" w:color="E26B0A"/>
            </w:tcBorders>
            <w:shd w:val="clear" w:color="auto" w:fill="auto"/>
            <w:noWrap/>
            <w:vAlign w:val="bottom"/>
            <w:hideMark/>
          </w:tcPr>
          <w:p w14:paraId="7AAA552B" w14:textId="77777777" w:rsidR="001E4B17" w:rsidRPr="00467EA2" w:rsidRDefault="001E4B17" w:rsidP="00985FAB">
            <w:pPr>
              <w:rPr>
                <w:rFonts w:eastAsia="Times New Roman" w:cs="Calibri"/>
                <w:sz w:val="20"/>
                <w:szCs w:val="20"/>
                <w:lang w:val="en-US"/>
              </w:rPr>
            </w:pPr>
            <w:r w:rsidRPr="00467EA2">
              <w:rPr>
                <w:rFonts w:eastAsia="Times New Roman" w:cs="Calibri"/>
                <w:sz w:val="20"/>
                <w:szCs w:val="20"/>
                <w:lang w:val="en-US"/>
              </w:rPr>
              <w:t>Дългосрочни задължения</w:t>
            </w:r>
          </w:p>
        </w:tc>
        <w:tc>
          <w:tcPr>
            <w:tcW w:w="1134" w:type="dxa"/>
            <w:tcBorders>
              <w:top w:val="nil"/>
              <w:left w:val="nil"/>
              <w:bottom w:val="double" w:sz="6" w:space="0" w:color="E26B0A"/>
              <w:right w:val="double" w:sz="6" w:space="0" w:color="E26B0A"/>
            </w:tcBorders>
            <w:shd w:val="clear" w:color="000000" w:fill="FDE9D9"/>
            <w:noWrap/>
            <w:vAlign w:val="bottom"/>
            <w:hideMark/>
          </w:tcPr>
          <w:p w14:paraId="73925F7C"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0</w:t>
            </w:r>
          </w:p>
        </w:tc>
        <w:tc>
          <w:tcPr>
            <w:tcW w:w="992" w:type="dxa"/>
            <w:tcBorders>
              <w:top w:val="nil"/>
              <w:left w:val="nil"/>
              <w:bottom w:val="double" w:sz="6" w:space="0" w:color="E26B0A"/>
              <w:right w:val="double" w:sz="6" w:space="0" w:color="E26B0A"/>
            </w:tcBorders>
            <w:shd w:val="clear" w:color="000000" w:fill="FDE9D9"/>
            <w:noWrap/>
            <w:vAlign w:val="bottom"/>
            <w:hideMark/>
          </w:tcPr>
          <w:p w14:paraId="51660478"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0</w:t>
            </w:r>
          </w:p>
        </w:tc>
        <w:tc>
          <w:tcPr>
            <w:tcW w:w="993" w:type="dxa"/>
            <w:tcBorders>
              <w:top w:val="nil"/>
              <w:left w:val="nil"/>
              <w:bottom w:val="double" w:sz="6" w:space="0" w:color="E26B0A"/>
              <w:right w:val="double" w:sz="6" w:space="0" w:color="E26B0A"/>
            </w:tcBorders>
            <w:shd w:val="clear" w:color="000000" w:fill="FABF8F"/>
            <w:noWrap/>
            <w:vAlign w:val="bottom"/>
            <w:hideMark/>
          </w:tcPr>
          <w:p w14:paraId="51C64323"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0</w:t>
            </w:r>
          </w:p>
        </w:tc>
        <w:tc>
          <w:tcPr>
            <w:tcW w:w="992" w:type="dxa"/>
            <w:tcBorders>
              <w:top w:val="nil"/>
              <w:left w:val="nil"/>
              <w:bottom w:val="double" w:sz="6" w:space="0" w:color="E26B0A"/>
              <w:right w:val="double" w:sz="6" w:space="0" w:color="E26B0A"/>
            </w:tcBorders>
            <w:shd w:val="clear" w:color="000000" w:fill="FABF8F"/>
            <w:noWrap/>
            <w:vAlign w:val="bottom"/>
            <w:hideMark/>
          </w:tcPr>
          <w:p w14:paraId="3E0A83DC"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0,0%</w:t>
            </w:r>
          </w:p>
        </w:tc>
      </w:tr>
      <w:tr w:rsidR="001E4B17" w:rsidRPr="00467EA2" w14:paraId="7BB936FA" w14:textId="77777777" w:rsidTr="001E4B17">
        <w:trPr>
          <w:trHeight w:val="300"/>
        </w:trPr>
        <w:tc>
          <w:tcPr>
            <w:tcW w:w="9923" w:type="dxa"/>
            <w:gridSpan w:val="6"/>
            <w:tcBorders>
              <w:top w:val="double" w:sz="6" w:space="0" w:color="E26B0A"/>
              <w:left w:val="double" w:sz="6" w:space="0" w:color="E26B0A"/>
              <w:bottom w:val="double" w:sz="6" w:space="0" w:color="E26B0A"/>
              <w:right w:val="double" w:sz="6" w:space="0" w:color="E26B0A"/>
            </w:tcBorders>
            <w:shd w:val="clear" w:color="000000" w:fill="E26B0A"/>
            <w:noWrap/>
            <w:vAlign w:val="bottom"/>
            <w:hideMark/>
          </w:tcPr>
          <w:p w14:paraId="4B5B4053" w14:textId="77777777" w:rsidR="001E4B17" w:rsidRPr="00467EA2" w:rsidRDefault="001E4B17" w:rsidP="00985FAB">
            <w:pPr>
              <w:jc w:val="center"/>
              <w:rPr>
                <w:rFonts w:eastAsia="Times New Roman" w:cs="Calibri"/>
                <w:b/>
                <w:bCs/>
                <w:color w:val="FFFFFF"/>
                <w:sz w:val="20"/>
                <w:szCs w:val="20"/>
                <w:lang w:val="en-US"/>
              </w:rPr>
            </w:pPr>
            <w:r w:rsidRPr="00467EA2">
              <w:rPr>
                <w:rFonts w:eastAsia="Times New Roman" w:cs="Calibri"/>
                <w:b/>
                <w:bCs/>
                <w:color w:val="FFFFFF"/>
                <w:sz w:val="20"/>
                <w:szCs w:val="20"/>
                <w:lang w:val="en-US"/>
              </w:rPr>
              <w:t xml:space="preserve">                                   </w:t>
            </w:r>
          </w:p>
        </w:tc>
      </w:tr>
      <w:tr w:rsidR="001E4B17" w:rsidRPr="00467EA2" w14:paraId="272AEE8F" w14:textId="77777777" w:rsidTr="001E4B17">
        <w:trPr>
          <w:trHeight w:val="300"/>
        </w:trPr>
        <w:tc>
          <w:tcPr>
            <w:tcW w:w="419" w:type="dxa"/>
            <w:tcBorders>
              <w:top w:val="nil"/>
              <w:left w:val="double" w:sz="6" w:space="0" w:color="E26B0A"/>
              <w:bottom w:val="double" w:sz="6" w:space="0" w:color="E26B0A"/>
              <w:right w:val="double" w:sz="6" w:space="0" w:color="E26B0A"/>
            </w:tcBorders>
            <w:shd w:val="clear" w:color="auto" w:fill="auto"/>
            <w:noWrap/>
            <w:vAlign w:val="bottom"/>
            <w:hideMark/>
          </w:tcPr>
          <w:p w14:paraId="0B7F20DD" w14:textId="77777777" w:rsidR="001E4B17" w:rsidRPr="00467EA2" w:rsidRDefault="001E4B17" w:rsidP="00985FAB">
            <w:pPr>
              <w:jc w:val="center"/>
              <w:rPr>
                <w:rFonts w:eastAsia="Times New Roman" w:cs="Calibri"/>
                <w:sz w:val="20"/>
                <w:szCs w:val="20"/>
                <w:lang w:val="en-US"/>
              </w:rPr>
            </w:pPr>
            <w:r w:rsidRPr="00467EA2">
              <w:rPr>
                <w:rFonts w:eastAsia="Times New Roman" w:cs="Calibri"/>
                <w:sz w:val="20"/>
                <w:szCs w:val="20"/>
                <w:lang w:val="en-US"/>
              </w:rPr>
              <w:t>17</w:t>
            </w:r>
          </w:p>
        </w:tc>
        <w:tc>
          <w:tcPr>
            <w:tcW w:w="5393" w:type="dxa"/>
            <w:tcBorders>
              <w:top w:val="nil"/>
              <w:left w:val="nil"/>
              <w:bottom w:val="double" w:sz="6" w:space="0" w:color="E26B0A"/>
              <w:right w:val="double" w:sz="6" w:space="0" w:color="E26B0A"/>
            </w:tcBorders>
            <w:shd w:val="clear" w:color="auto" w:fill="auto"/>
            <w:noWrap/>
            <w:vAlign w:val="bottom"/>
            <w:hideMark/>
          </w:tcPr>
          <w:p w14:paraId="271C847F" w14:textId="77777777" w:rsidR="001E4B17" w:rsidRPr="00467EA2" w:rsidRDefault="001E4B17" w:rsidP="00985FAB">
            <w:pPr>
              <w:rPr>
                <w:rFonts w:eastAsia="Times New Roman" w:cs="Calibri"/>
                <w:sz w:val="20"/>
                <w:szCs w:val="20"/>
                <w:lang w:val="en-US"/>
              </w:rPr>
            </w:pPr>
            <w:r w:rsidRPr="00467EA2">
              <w:rPr>
                <w:rFonts w:eastAsia="Times New Roman" w:cs="Calibri"/>
                <w:sz w:val="20"/>
                <w:szCs w:val="20"/>
                <w:lang w:val="en-US"/>
              </w:rPr>
              <w:t>Коеф. на рентабилност на приходите от продажби (1/2)</w:t>
            </w:r>
          </w:p>
        </w:tc>
        <w:tc>
          <w:tcPr>
            <w:tcW w:w="1134" w:type="dxa"/>
            <w:tcBorders>
              <w:top w:val="nil"/>
              <w:left w:val="nil"/>
              <w:bottom w:val="double" w:sz="6" w:space="0" w:color="E26B0A"/>
              <w:right w:val="double" w:sz="6" w:space="0" w:color="E26B0A"/>
            </w:tcBorders>
            <w:shd w:val="clear" w:color="000000" w:fill="FABF8F"/>
            <w:noWrap/>
            <w:vAlign w:val="bottom"/>
            <w:hideMark/>
          </w:tcPr>
          <w:p w14:paraId="0C13B72F"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0,0522</w:t>
            </w:r>
          </w:p>
        </w:tc>
        <w:tc>
          <w:tcPr>
            <w:tcW w:w="992" w:type="dxa"/>
            <w:tcBorders>
              <w:top w:val="nil"/>
              <w:left w:val="nil"/>
              <w:bottom w:val="double" w:sz="6" w:space="0" w:color="E26B0A"/>
              <w:right w:val="double" w:sz="6" w:space="0" w:color="E26B0A"/>
            </w:tcBorders>
            <w:shd w:val="clear" w:color="000000" w:fill="FABF8F"/>
            <w:noWrap/>
            <w:vAlign w:val="bottom"/>
            <w:hideMark/>
          </w:tcPr>
          <w:p w14:paraId="6B673EA5"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0,1003</w:t>
            </w:r>
          </w:p>
        </w:tc>
        <w:tc>
          <w:tcPr>
            <w:tcW w:w="993" w:type="dxa"/>
            <w:tcBorders>
              <w:top w:val="nil"/>
              <w:left w:val="nil"/>
              <w:bottom w:val="double" w:sz="6" w:space="0" w:color="E26B0A"/>
              <w:right w:val="double" w:sz="6" w:space="0" w:color="E26B0A"/>
            </w:tcBorders>
            <w:shd w:val="clear" w:color="000000" w:fill="FABF8F"/>
            <w:noWrap/>
            <w:vAlign w:val="bottom"/>
            <w:hideMark/>
          </w:tcPr>
          <w:p w14:paraId="72DB1F19"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-0,0481</w:t>
            </w:r>
          </w:p>
        </w:tc>
        <w:tc>
          <w:tcPr>
            <w:tcW w:w="992" w:type="dxa"/>
            <w:tcBorders>
              <w:top w:val="nil"/>
              <w:left w:val="nil"/>
              <w:bottom w:val="double" w:sz="6" w:space="0" w:color="E26B0A"/>
              <w:right w:val="double" w:sz="6" w:space="0" w:color="E26B0A"/>
            </w:tcBorders>
            <w:shd w:val="clear" w:color="000000" w:fill="FABF8F"/>
            <w:noWrap/>
            <w:vAlign w:val="bottom"/>
            <w:hideMark/>
          </w:tcPr>
          <w:p w14:paraId="5B44F64B"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-48,0%</w:t>
            </w:r>
          </w:p>
        </w:tc>
      </w:tr>
      <w:tr w:rsidR="001E4B17" w:rsidRPr="00467EA2" w14:paraId="11580B1F" w14:textId="77777777" w:rsidTr="001E4B17">
        <w:trPr>
          <w:trHeight w:val="300"/>
        </w:trPr>
        <w:tc>
          <w:tcPr>
            <w:tcW w:w="419" w:type="dxa"/>
            <w:tcBorders>
              <w:top w:val="nil"/>
              <w:left w:val="double" w:sz="6" w:space="0" w:color="E26B0A"/>
              <w:bottom w:val="double" w:sz="6" w:space="0" w:color="E26B0A"/>
              <w:right w:val="double" w:sz="6" w:space="0" w:color="E26B0A"/>
            </w:tcBorders>
            <w:shd w:val="clear" w:color="auto" w:fill="auto"/>
            <w:noWrap/>
            <w:vAlign w:val="bottom"/>
            <w:hideMark/>
          </w:tcPr>
          <w:p w14:paraId="350E98A0" w14:textId="77777777" w:rsidR="001E4B17" w:rsidRPr="00467EA2" w:rsidRDefault="001E4B17" w:rsidP="00985FAB">
            <w:pPr>
              <w:jc w:val="center"/>
              <w:rPr>
                <w:rFonts w:eastAsia="Times New Roman" w:cs="Calibri"/>
                <w:sz w:val="20"/>
                <w:szCs w:val="20"/>
                <w:lang w:val="en-US"/>
              </w:rPr>
            </w:pPr>
            <w:r w:rsidRPr="00467EA2">
              <w:rPr>
                <w:rFonts w:eastAsia="Times New Roman" w:cs="Calibri"/>
                <w:sz w:val="20"/>
                <w:szCs w:val="20"/>
                <w:lang w:val="en-US"/>
              </w:rPr>
              <w:t>18</w:t>
            </w:r>
          </w:p>
        </w:tc>
        <w:tc>
          <w:tcPr>
            <w:tcW w:w="5393" w:type="dxa"/>
            <w:tcBorders>
              <w:top w:val="nil"/>
              <w:left w:val="nil"/>
              <w:bottom w:val="double" w:sz="6" w:space="0" w:color="E26B0A"/>
              <w:right w:val="double" w:sz="6" w:space="0" w:color="E26B0A"/>
            </w:tcBorders>
            <w:shd w:val="clear" w:color="auto" w:fill="auto"/>
            <w:noWrap/>
            <w:vAlign w:val="bottom"/>
            <w:hideMark/>
          </w:tcPr>
          <w:p w14:paraId="0C020034" w14:textId="77777777" w:rsidR="001E4B17" w:rsidRPr="00467EA2" w:rsidRDefault="001E4B17" w:rsidP="00985FAB">
            <w:pPr>
              <w:rPr>
                <w:rFonts w:eastAsia="Times New Roman" w:cs="Calibri"/>
                <w:sz w:val="20"/>
                <w:szCs w:val="20"/>
                <w:lang w:val="en-US"/>
              </w:rPr>
            </w:pPr>
            <w:r w:rsidRPr="00467EA2">
              <w:rPr>
                <w:rFonts w:eastAsia="Times New Roman" w:cs="Calibri"/>
                <w:sz w:val="20"/>
                <w:szCs w:val="20"/>
                <w:lang w:val="en-US"/>
              </w:rPr>
              <w:t xml:space="preserve"> Коеф. на рентабилност на собствения капитал (1/7)</w:t>
            </w:r>
          </w:p>
        </w:tc>
        <w:tc>
          <w:tcPr>
            <w:tcW w:w="1134" w:type="dxa"/>
            <w:tcBorders>
              <w:top w:val="nil"/>
              <w:left w:val="nil"/>
              <w:bottom w:val="double" w:sz="6" w:space="0" w:color="E26B0A"/>
              <w:right w:val="double" w:sz="6" w:space="0" w:color="E26B0A"/>
            </w:tcBorders>
            <w:shd w:val="clear" w:color="000000" w:fill="FABF8F"/>
            <w:noWrap/>
            <w:vAlign w:val="bottom"/>
            <w:hideMark/>
          </w:tcPr>
          <w:p w14:paraId="43CE88B5"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0,2230</w:t>
            </w:r>
          </w:p>
        </w:tc>
        <w:tc>
          <w:tcPr>
            <w:tcW w:w="992" w:type="dxa"/>
            <w:tcBorders>
              <w:top w:val="nil"/>
              <w:left w:val="nil"/>
              <w:bottom w:val="double" w:sz="6" w:space="0" w:color="E26B0A"/>
              <w:right w:val="double" w:sz="6" w:space="0" w:color="E26B0A"/>
            </w:tcBorders>
            <w:shd w:val="clear" w:color="000000" w:fill="FABF8F"/>
            <w:noWrap/>
            <w:vAlign w:val="bottom"/>
            <w:hideMark/>
          </w:tcPr>
          <w:p w14:paraId="655F5BF9"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0,5359</w:t>
            </w:r>
          </w:p>
        </w:tc>
        <w:tc>
          <w:tcPr>
            <w:tcW w:w="993" w:type="dxa"/>
            <w:tcBorders>
              <w:top w:val="nil"/>
              <w:left w:val="nil"/>
              <w:bottom w:val="double" w:sz="6" w:space="0" w:color="E26B0A"/>
              <w:right w:val="double" w:sz="6" w:space="0" w:color="E26B0A"/>
            </w:tcBorders>
            <w:shd w:val="clear" w:color="000000" w:fill="FABF8F"/>
            <w:noWrap/>
            <w:vAlign w:val="bottom"/>
            <w:hideMark/>
          </w:tcPr>
          <w:p w14:paraId="16583F98"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-0,3128</w:t>
            </w:r>
          </w:p>
        </w:tc>
        <w:tc>
          <w:tcPr>
            <w:tcW w:w="992" w:type="dxa"/>
            <w:tcBorders>
              <w:top w:val="nil"/>
              <w:left w:val="nil"/>
              <w:bottom w:val="double" w:sz="6" w:space="0" w:color="E26B0A"/>
              <w:right w:val="double" w:sz="6" w:space="0" w:color="E26B0A"/>
            </w:tcBorders>
            <w:shd w:val="clear" w:color="000000" w:fill="FABF8F"/>
            <w:noWrap/>
            <w:vAlign w:val="bottom"/>
            <w:hideMark/>
          </w:tcPr>
          <w:p w14:paraId="528C5F6B"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-58,4%</w:t>
            </w:r>
          </w:p>
        </w:tc>
      </w:tr>
      <w:tr w:rsidR="001E4B17" w:rsidRPr="00467EA2" w14:paraId="6B3F33CC" w14:textId="77777777" w:rsidTr="001E4B17">
        <w:trPr>
          <w:trHeight w:val="300"/>
        </w:trPr>
        <w:tc>
          <w:tcPr>
            <w:tcW w:w="419" w:type="dxa"/>
            <w:tcBorders>
              <w:top w:val="nil"/>
              <w:left w:val="double" w:sz="6" w:space="0" w:color="E26B0A"/>
              <w:bottom w:val="double" w:sz="6" w:space="0" w:color="E26B0A"/>
              <w:right w:val="double" w:sz="6" w:space="0" w:color="E26B0A"/>
            </w:tcBorders>
            <w:shd w:val="clear" w:color="auto" w:fill="auto"/>
            <w:noWrap/>
            <w:vAlign w:val="bottom"/>
            <w:hideMark/>
          </w:tcPr>
          <w:p w14:paraId="79AF54BD" w14:textId="77777777" w:rsidR="001E4B17" w:rsidRPr="00467EA2" w:rsidRDefault="001E4B17" w:rsidP="00985FAB">
            <w:pPr>
              <w:jc w:val="center"/>
              <w:rPr>
                <w:rFonts w:eastAsia="Times New Roman" w:cs="Calibri"/>
                <w:sz w:val="20"/>
                <w:szCs w:val="20"/>
                <w:lang w:val="en-US"/>
              </w:rPr>
            </w:pPr>
            <w:r w:rsidRPr="00467EA2">
              <w:rPr>
                <w:rFonts w:eastAsia="Times New Roman" w:cs="Calibri"/>
                <w:sz w:val="20"/>
                <w:szCs w:val="20"/>
                <w:lang w:val="en-US"/>
              </w:rPr>
              <w:t>19</w:t>
            </w:r>
          </w:p>
        </w:tc>
        <w:tc>
          <w:tcPr>
            <w:tcW w:w="5393" w:type="dxa"/>
            <w:tcBorders>
              <w:top w:val="nil"/>
              <w:left w:val="nil"/>
              <w:bottom w:val="double" w:sz="6" w:space="0" w:color="E26B0A"/>
              <w:right w:val="double" w:sz="6" w:space="0" w:color="E26B0A"/>
            </w:tcBorders>
            <w:shd w:val="clear" w:color="auto" w:fill="auto"/>
            <w:noWrap/>
            <w:vAlign w:val="bottom"/>
            <w:hideMark/>
          </w:tcPr>
          <w:p w14:paraId="5652C481" w14:textId="77777777" w:rsidR="001E4B17" w:rsidRPr="00467EA2" w:rsidRDefault="001E4B17" w:rsidP="00985FAB">
            <w:pPr>
              <w:rPr>
                <w:rFonts w:eastAsia="Times New Roman" w:cs="Calibri"/>
                <w:sz w:val="20"/>
                <w:szCs w:val="20"/>
                <w:lang w:val="en-US"/>
              </w:rPr>
            </w:pPr>
            <w:r w:rsidRPr="00467EA2">
              <w:rPr>
                <w:rFonts w:eastAsia="Times New Roman" w:cs="Calibri"/>
                <w:sz w:val="20"/>
                <w:szCs w:val="20"/>
                <w:lang w:val="en-US"/>
              </w:rPr>
              <w:t>Коеф. на рентабилност на пасивите (1/8)</w:t>
            </w:r>
          </w:p>
        </w:tc>
        <w:tc>
          <w:tcPr>
            <w:tcW w:w="1134" w:type="dxa"/>
            <w:tcBorders>
              <w:top w:val="nil"/>
              <w:left w:val="nil"/>
              <w:bottom w:val="double" w:sz="6" w:space="0" w:color="E26B0A"/>
              <w:right w:val="double" w:sz="6" w:space="0" w:color="E26B0A"/>
            </w:tcBorders>
            <w:shd w:val="clear" w:color="000000" w:fill="FABF8F"/>
            <w:noWrap/>
            <w:vAlign w:val="bottom"/>
            <w:hideMark/>
          </w:tcPr>
          <w:p w14:paraId="40496DCB"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0,1813</w:t>
            </w:r>
          </w:p>
        </w:tc>
        <w:tc>
          <w:tcPr>
            <w:tcW w:w="992" w:type="dxa"/>
            <w:tcBorders>
              <w:top w:val="nil"/>
              <w:left w:val="nil"/>
              <w:bottom w:val="double" w:sz="6" w:space="0" w:color="E26B0A"/>
              <w:right w:val="double" w:sz="6" w:space="0" w:color="E26B0A"/>
            </w:tcBorders>
            <w:shd w:val="clear" w:color="000000" w:fill="FABF8F"/>
            <w:noWrap/>
            <w:vAlign w:val="bottom"/>
            <w:hideMark/>
          </w:tcPr>
          <w:p w14:paraId="5C05D1EC"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0,3039</w:t>
            </w:r>
          </w:p>
        </w:tc>
        <w:tc>
          <w:tcPr>
            <w:tcW w:w="993" w:type="dxa"/>
            <w:tcBorders>
              <w:top w:val="nil"/>
              <w:left w:val="nil"/>
              <w:bottom w:val="double" w:sz="6" w:space="0" w:color="E26B0A"/>
              <w:right w:val="double" w:sz="6" w:space="0" w:color="E26B0A"/>
            </w:tcBorders>
            <w:shd w:val="clear" w:color="000000" w:fill="FABF8F"/>
            <w:noWrap/>
            <w:vAlign w:val="bottom"/>
            <w:hideMark/>
          </w:tcPr>
          <w:p w14:paraId="66532805"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-0,1227</w:t>
            </w:r>
          </w:p>
        </w:tc>
        <w:tc>
          <w:tcPr>
            <w:tcW w:w="992" w:type="dxa"/>
            <w:tcBorders>
              <w:top w:val="nil"/>
              <w:left w:val="nil"/>
              <w:bottom w:val="double" w:sz="6" w:space="0" w:color="E26B0A"/>
              <w:right w:val="double" w:sz="6" w:space="0" w:color="E26B0A"/>
            </w:tcBorders>
            <w:shd w:val="clear" w:color="000000" w:fill="FABF8F"/>
            <w:noWrap/>
            <w:vAlign w:val="bottom"/>
            <w:hideMark/>
          </w:tcPr>
          <w:p w14:paraId="1F332721"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-40,4%</w:t>
            </w:r>
          </w:p>
        </w:tc>
      </w:tr>
      <w:tr w:rsidR="001E4B17" w:rsidRPr="00467EA2" w14:paraId="366DF541" w14:textId="77777777" w:rsidTr="001E4B17">
        <w:trPr>
          <w:trHeight w:val="300"/>
        </w:trPr>
        <w:tc>
          <w:tcPr>
            <w:tcW w:w="419" w:type="dxa"/>
            <w:tcBorders>
              <w:top w:val="nil"/>
              <w:left w:val="double" w:sz="6" w:space="0" w:color="E26B0A"/>
              <w:bottom w:val="double" w:sz="6" w:space="0" w:color="E26B0A"/>
              <w:right w:val="double" w:sz="6" w:space="0" w:color="E26B0A"/>
            </w:tcBorders>
            <w:shd w:val="clear" w:color="auto" w:fill="auto"/>
            <w:noWrap/>
            <w:vAlign w:val="bottom"/>
            <w:hideMark/>
          </w:tcPr>
          <w:p w14:paraId="72B302AE" w14:textId="77777777" w:rsidR="001E4B17" w:rsidRPr="00467EA2" w:rsidRDefault="001E4B17" w:rsidP="00985FAB">
            <w:pPr>
              <w:jc w:val="center"/>
              <w:rPr>
                <w:rFonts w:eastAsia="Times New Roman" w:cs="Calibri"/>
                <w:sz w:val="20"/>
                <w:szCs w:val="20"/>
                <w:lang w:val="en-US"/>
              </w:rPr>
            </w:pPr>
            <w:r w:rsidRPr="00467EA2">
              <w:rPr>
                <w:rFonts w:eastAsia="Times New Roman" w:cs="Calibri"/>
                <w:sz w:val="20"/>
                <w:szCs w:val="20"/>
                <w:lang w:val="en-US"/>
              </w:rPr>
              <w:t>20</w:t>
            </w:r>
          </w:p>
        </w:tc>
        <w:tc>
          <w:tcPr>
            <w:tcW w:w="5393" w:type="dxa"/>
            <w:tcBorders>
              <w:top w:val="nil"/>
              <w:left w:val="nil"/>
              <w:bottom w:val="double" w:sz="6" w:space="0" w:color="E26B0A"/>
              <w:right w:val="double" w:sz="6" w:space="0" w:color="E26B0A"/>
            </w:tcBorders>
            <w:shd w:val="clear" w:color="auto" w:fill="auto"/>
            <w:noWrap/>
            <w:vAlign w:val="bottom"/>
            <w:hideMark/>
          </w:tcPr>
          <w:p w14:paraId="587ACADD" w14:textId="77777777" w:rsidR="001E4B17" w:rsidRPr="00467EA2" w:rsidRDefault="001E4B17" w:rsidP="00985FAB">
            <w:pPr>
              <w:rPr>
                <w:rFonts w:eastAsia="Times New Roman" w:cs="Calibri"/>
                <w:sz w:val="20"/>
                <w:szCs w:val="20"/>
                <w:lang w:val="en-US"/>
              </w:rPr>
            </w:pPr>
            <w:r w:rsidRPr="00467EA2">
              <w:rPr>
                <w:rFonts w:eastAsia="Times New Roman" w:cs="Calibri"/>
                <w:sz w:val="20"/>
                <w:szCs w:val="20"/>
                <w:lang w:val="en-US"/>
              </w:rPr>
              <w:t>Коеф. на капитализация на активите (1/9)</w:t>
            </w:r>
          </w:p>
        </w:tc>
        <w:tc>
          <w:tcPr>
            <w:tcW w:w="1134" w:type="dxa"/>
            <w:tcBorders>
              <w:top w:val="nil"/>
              <w:left w:val="nil"/>
              <w:bottom w:val="double" w:sz="6" w:space="0" w:color="E26B0A"/>
              <w:right w:val="double" w:sz="6" w:space="0" w:color="E26B0A"/>
            </w:tcBorders>
            <w:shd w:val="clear" w:color="000000" w:fill="FABF8F"/>
            <w:noWrap/>
            <w:vAlign w:val="bottom"/>
            <w:hideMark/>
          </w:tcPr>
          <w:p w14:paraId="79C571A6"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0,1000</w:t>
            </w:r>
          </w:p>
        </w:tc>
        <w:tc>
          <w:tcPr>
            <w:tcW w:w="992" w:type="dxa"/>
            <w:tcBorders>
              <w:top w:val="nil"/>
              <w:left w:val="nil"/>
              <w:bottom w:val="double" w:sz="6" w:space="0" w:color="E26B0A"/>
              <w:right w:val="double" w:sz="6" w:space="0" w:color="E26B0A"/>
            </w:tcBorders>
            <w:shd w:val="clear" w:color="000000" w:fill="FABF8F"/>
            <w:noWrap/>
            <w:vAlign w:val="bottom"/>
            <w:hideMark/>
          </w:tcPr>
          <w:p w14:paraId="26A5E6B1"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0,1939</w:t>
            </w:r>
          </w:p>
        </w:tc>
        <w:tc>
          <w:tcPr>
            <w:tcW w:w="993" w:type="dxa"/>
            <w:tcBorders>
              <w:top w:val="nil"/>
              <w:left w:val="nil"/>
              <w:bottom w:val="double" w:sz="6" w:space="0" w:color="E26B0A"/>
              <w:right w:val="double" w:sz="6" w:space="0" w:color="E26B0A"/>
            </w:tcBorders>
            <w:shd w:val="clear" w:color="000000" w:fill="FABF8F"/>
            <w:noWrap/>
            <w:vAlign w:val="bottom"/>
            <w:hideMark/>
          </w:tcPr>
          <w:p w14:paraId="458FD1AB"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-0,0939</w:t>
            </w:r>
          </w:p>
        </w:tc>
        <w:tc>
          <w:tcPr>
            <w:tcW w:w="992" w:type="dxa"/>
            <w:tcBorders>
              <w:top w:val="nil"/>
              <w:left w:val="nil"/>
              <w:bottom w:val="double" w:sz="6" w:space="0" w:color="E26B0A"/>
              <w:right w:val="double" w:sz="6" w:space="0" w:color="E26B0A"/>
            </w:tcBorders>
            <w:shd w:val="clear" w:color="000000" w:fill="FABF8F"/>
            <w:noWrap/>
            <w:vAlign w:val="bottom"/>
            <w:hideMark/>
          </w:tcPr>
          <w:p w14:paraId="396B5DE5"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-48,4%</w:t>
            </w:r>
          </w:p>
        </w:tc>
      </w:tr>
      <w:tr w:rsidR="001E4B17" w:rsidRPr="00467EA2" w14:paraId="1E454F12" w14:textId="77777777" w:rsidTr="001E4B17">
        <w:trPr>
          <w:trHeight w:val="300"/>
        </w:trPr>
        <w:tc>
          <w:tcPr>
            <w:tcW w:w="9923" w:type="dxa"/>
            <w:gridSpan w:val="6"/>
            <w:tcBorders>
              <w:top w:val="double" w:sz="6" w:space="0" w:color="E26B0A"/>
              <w:left w:val="double" w:sz="6" w:space="0" w:color="E26B0A"/>
              <w:bottom w:val="double" w:sz="6" w:space="0" w:color="E26B0A"/>
              <w:right w:val="double" w:sz="6" w:space="0" w:color="E26B0A"/>
            </w:tcBorders>
            <w:shd w:val="clear" w:color="000000" w:fill="E26B0A"/>
            <w:noWrap/>
            <w:vAlign w:val="bottom"/>
            <w:hideMark/>
          </w:tcPr>
          <w:p w14:paraId="336685DF" w14:textId="77777777" w:rsidR="001E4B17" w:rsidRPr="00467EA2" w:rsidRDefault="001E4B17" w:rsidP="00985FAB">
            <w:pPr>
              <w:jc w:val="center"/>
              <w:rPr>
                <w:rFonts w:eastAsia="Times New Roman" w:cs="Calibri"/>
                <w:b/>
                <w:bCs/>
                <w:color w:val="FFFFFF"/>
                <w:sz w:val="20"/>
                <w:szCs w:val="20"/>
                <w:lang w:val="en-US"/>
              </w:rPr>
            </w:pPr>
            <w:r w:rsidRPr="00467EA2">
              <w:rPr>
                <w:rFonts w:eastAsia="Times New Roman" w:cs="Calibri"/>
                <w:b/>
                <w:bCs/>
                <w:color w:val="FFFFFF"/>
                <w:sz w:val="20"/>
                <w:szCs w:val="20"/>
                <w:lang w:val="en-US"/>
              </w:rPr>
              <w:t>Ефективност:</w:t>
            </w:r>
          </w:p>
        </w:tc>
      </w:tr>
      <w:tr w:rsidR="001E4B17" w:rsidRPr="00467EA2" w14:paraId="04E5CBB6" w14:textId="77777777" w:rsidTr="001E4B17">
        <w:trPr>
          <w:trHeight w:val="300"/>
        </w:trPr>
        <w:tc>
          <w:tcPr>
            <w:tcW w:w="419" w:type="dxa"/>
            <w:tcBorders>
              <w:top w:val="nil"/>
              <w:left w:val="double" w:sz="6" w:space="0" w:color="E26B0A"/>
              <w:bottom w:val="double" w:sz="6" w:space="0" w:color="E26B0A"/>
              <w:right w:val="double" w:sz="6" w:space="0" w:color="E26B0A"/>
            </w:tcBorders>
            <w:shd w:val="clear" w:color="auto" w:fill="auto"/>
            <w:noWrap/>
            <w:vAlign w:val="bottom"/>
            <w:hideMark/>
          </w:tcPr>
          <w:p w14:paraId="63F723A7" w14:textId="77777777" w:rsidR="001E4B17" w:rsidRPr="00467EA2" w:rsidRDefault="001E4B17" w:rsidP="00985FAB">
            <w:pPr>
              <w:jc w:val="center"/>
              <w:rPr>
                <w:rFonts w:eastAsia="Times New Roman" w:cs="Calibri"/>
                <w:sz w:val="20"/>
                <w:szCs w:val="20"/>
                <w:lang w:val="en-US"/>
              </w:rPr>
            </w:pPr>
            <w:r w:rsidRPr="00467EA2">
              <w:rPr>
                <w:rFonts w:eastAsia="Times New Roman" w:cs="Calibri"/>
                <w:sz w:val="20"/>
                <w:szCs w:val="20"/>
                <w:lang w:val="en-US"/>
              </w:rPr>
              <w:t>21</w:t>
            </w:r>
          </w:p>
        </w:tc>
        <w:tc>
          <w:tcPr>
            <w:tcW w:w="5393" w:type="dxa"/>
            <w:tcBorders>
              <w:top w:val="nil"/>
              <w:left w:val="nil"/>
              <w:bottom w:val="double" w:sz="6" w:space="0" w:color="E26B0A"/>
              <w:right w:val="double" w:sz="6" w:space="0" w:color="E26B0A"/>
            </w:tcBorders>
            <w:shd w:val="clear" w:color="auto" w:fill="auto"/>
            <w:noWrap/>
            <w:vAlign w:val="bottom"/>
            <w:hideMark/>
          </w:tcPr>
          <w:p w14:paraId="1B1FADC3" w14:textId="77777777" w:rsidR="001E4B17" w:rsidRPr="00467EA2" w:rsidRDefault="001E4B17" w:rsidP="00985FAB">
            <w:pPr>
              <w:rPr>
                <w:rFonts w:eastAsia="Times New Roman" w:cs="Calibri"/>
                <w:sz w:val="20"/>
                <w:szCs w:val="20"/>
                <w:lang w:val="en-US"/>
              </w:rPr>
            </w:pPr>
            <w:r w:rsidRPr="00467EA2">
              <w:rPr>
                <w:rFonts w:eastAsia="Times New Roman" w:cs="Calibri"/>
                <w:sz w:val="20"/>
                <w:szCs w:val="20"/>
                <w:lang w:val="en-US"/>
              </w:rPr>
              <w:t>Коеф. на ефективност на разходите (4/6)</w:t>
            </w:r>
          </w:p>
        </w:tc>
        <w:tc>
          <w:tcPr>
            <w:tcW w:w="1134" w:type="dxa"/>
            <w:tcBorders>
              <w:top w:val="nil"/>
              <w:left w:val="nil"/>
              <w:bottom w:val="double" w:sz="6" w:space="0" w:color="E26B0A"/>
              <w:right w:val="double" w:sz="6" w:space="0" w:color="E26B0A"/>
            </w:tcBorders>
            <w:shd w:val="clear" w:color="000000" w:fill="FABF8F"/>
            <w:noWrap/>
            <w:vAlign w:val="bottom"/>
            <w:hideMark/>
          </w:tcPr>
          <w:p w14:paraId="2959E17E"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1,0713</w:t>
            </w:r>
          </w:p>
        </w:tc>
        <w:tc>
          <w:tcPr>
            <w:tcW w:w="992" w:type="dxa"/>
            <w:tcBorders>
              <w:top w:val="nil"/>
              <w:left w:val="nil"/>
              <w:bottom w:val="double" w:sz="6" w:space="0" w:color="E26B0A"/>
              <w:right w:val="double" w:sz="6" w:space="0" w:color="E26B0A"/>
            </w:tcBorders>
            <w:shd w:val="clear" w:color="000000" w:fill="FABF8F"/>
            <w:noWrap/>
            <w:vAlign w:val="bottom"/>
            <w:hideMark/>
          </w:tcPr>
          <w:p w14:paraId="782C5578"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1,1224</w:t>
            </w:r>
          </w:p>
        </w:tc>
        <w:tc>
          <w:tcPr>
            <w:tcW w:w="993" w:type="dxa"/>
            <w:tcBorders>
              <w:top w:val="nil"/>
              <w:left w:val="nil"/>
              <w:bottom w:val="double" w:sz="6" w:space="0" w:color="E26B0A"/>
              <w:right w:val="double" w:sz="6" w:space="0" w:color="E26B0A"/>
            </w:tcBorders>
            <w:shd w:val="clear" w:color="000000" w:fill="FABF8F"/>
            <w:noWrap/>
            <w:vAlign w:val="bottom"/>
            <w:hideMark/>
          </w:tcPr>
          <w:p w14:paraId="57D7CD5C"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-0,0512</w:t>
            </w:r>
          </w:p>
        </w:tc>
        <w:tc>
          <w:tcPr>
            <w:tcW w:w="992" w:type="dxa"/>
            <w:tcBorders>
              <w:top w:val="nil"/>
              <w:left w:val="nil"/>
              <w:bottom w:val="double" w:sz="6" w:space="0" w:color="E26B0A"/>
              <w:right w:val="double" w:sz="6" w:space="0" w:color="E26B0A"/>
            </w:tcBorders>
            <w:shd w:val="clear" w:color="000000" w:fill="FABF8F"/>
            <w:noWrap/>
            <w:vAlign w:val="bottom"/>
            <w:hideMark/>
          </w:tcPr>
          <w:p w14:paraId="0CEE2A80"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-4,6%</w:t>
            </w:r>
          </w:p>
        </w:tc>
      </w:tr>
      <w:tr w:rsidR="001E4B17" w:rsidRPr="00467EA2" w14:paraId="3C6ACD64" w14:textId="77777777" w:rsidTr="001E4B17">
        <w:trPr>
          <w:trHeight w:val="300"/>
        </w:trPr>
        <w:tc>
          <w:tcPr>
            <w:tcW w:w="419" w:type="dxa"/>
            <w:tcBorders>
              <w:top w:val="nil"/>
              <w:left w:val="double" w:sz="6" w:space="0" w:color="E26B0A"/>
              <w:bottom w:val="double" w:sz="6" w:space="0" w:color="E26B0A"/>
              <w:right w:val="double" w:sz="6" w:space="0" w:color="E26B0A"/>
            </w:tcBorders>
            <w:shd w:val="clear" w:color="auto" w:fill="auto"/>
            <w:noWrap/>
            <w:vAlign w:val="bottom"/>
            <w:hideMark/>
          </w:tcPr>
          <w:p w14:paraId="7EC4A76E" w14:textId="77777777" w:rsidR="001E4B17" w:rsidRPr="00467EA2" w:rsidRDefault="001E4B17" w:rsidP="00985FAB">
            <w:pPr>
              <w:jc w:val="center"/>
              <w:rPr>
                <w:rFonts w:eastAsia="Times New Roman" w:cs="Calibri"/>
                <w:sz w:val="20"/>
                <w:szCs w:val="20"/>
                <w:lang w:val="en-US"/>
              </w:rPr>
            </w:pPr>
            <w:r w:rsidRPr="00467EA2">
              <w:rPr>
                <w:rFonts w:eastAsia="Times New Roman" w:cs="Calibri"/>
                <w:sz w:val="20"/>
                <w:szCs w:val="20"/>
                <w:lang w:val="en-US"/>
              </w:rPr>
              <w:t>22</w:t>
            </w:r>
          </w:p>
        </w:tc>
        <w:tc>
          <w:tcPr>
            <w:tcW w:w="5393" w:type="dxa"/>
            <w:tcBorders>
              <w:top w:val="nil"/>
              <w:left w:val="nil"/>
              <w:bottom w:val="double" w:sz="6" w:space="0" w:color="E26B0A"/>
              <w:right w:val="double" w:sz="6" w:space="0" w:color="E26B0A"/>
            </w:tcBorders>
            <w:shd w:val="clear" w:color="auto" w:fill="auto"/>
            <w:noWrap/>
            <w:vAlign w:val="bottom"/>
            <w:hideMark/>
          </w:tcPr>
          <w:p w14:paraId="59582E81" w14:textId="77777777" w:rsidR="001E4B17" w:rsidRPr="00467EA2" w:rsidRDefault="001E4B17" w:rsidP="00985FAB">
            <w:pPr>
              <w:rPr>
                <w:rFonts w:eastAsia="Times New Roman" w:cs="Calibri"/>
                <w:sz w:val="20"/>
                <w:szCs w:val="20"/>
                <w:lang w:val="en-US"/>
              </w:rPr>
            </w:pPr>
            <w:r w:rsidRPr="00467EA2">
              <w:rPr>
                <w:rFonts w:eastAsia="Times New Roman" w:cs="Calibri"/>
                <w:sz w:val="20"/>
                <w:szCs w:val="20"/>
                <w:lang w:val="en-US"/>
              </w:rPr>
              <w:t>Коефициент на ефективност на разходите от оперативна дейност (3/5)</w:t>
            </w:r>
          </w:p>
        </w:tc>
        <w:tc>
          <w:tcPr>
            <w:tcW w:w="1134" w:type="dxa"/>
            <w:tcBorders>
              <w:top w:val="nil"/>
              <w:left w:val="nil"/>
              <w:bottom w:val="double" w:sz="6" w:space="0" w:color="E26B0A"/>
              <w:right w:val="double" w:sz="6" w:space="0" w:color="E26B0A"/>
            </w:tcBorders>
            <w:shd w:val="clear" w:color="000000" w:fill="FABF8F"/>
            <w:noWrap/>
            <w:vAlign w:val="bottom"/>
            <w:hideMark/>
          </w:tcPr>
          <w:p w14:paraId="26FCFB55"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1,0727</w:t>
            </w:r>
          </w:p>
        </w:tc>
        <w:tc>
          <w:tcPr>
            <w:tcW w:w="992" w:type="dxa"/>
            <w:tcBorders>
              <w:top w:val="nil"/>
              <w:left w:val="nil"/>
              <w:bottom w:val="double" w:sz="6" w:space="0" w:color="E26B0A"/>
              <w:right w:val="double" w:sz="6" w:space="0" w:color="E26B0A"/>
            </w:tcBorders>
            <w:shd w:val="clear" w:color="000000" w:fill="FABF8F"/>
            <w:noWrap/>
            <w:vAlign w:val="bottom"/>
            <w:hideMark/>
          </w:tcPr>
          <w:p w14:paraId="5242B801"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1,1252</w:t>
            </w:r>
          </w:p>
        </w:tc>
        <w:tc>
          <w:tcPr>
            <w:tcW w:w="993" w:type="dxa"/>
            <w:tcBorders>
              <w:top w:val="nil"/>
              <w:left w:val="nil"/>
              <w:bottom w:val="double" w:sz="6" w:space="0" w:color="E26B0A"/>
              <w:right w:val="double" w:sz="6" w:space="0" w:color="E26B0A"/>
            </w:tcBorders>
            <w:shd w:val="clear" w:color="000000" w:fill="FABF8F"/>
            <w:noWrap/>
            <w:vAlign w:val="bottom"/>
            <w:hideMark/>
          </w:tcPr>
          <w:p w14:paraId="6499ED2E"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-0,0525</w:t>
            </w:r>
          </w:p>
        </w:tc>
        <w:tc>
          <w:tcPr>
            <w:tcW w:w="992" w:type="dxa"/>
            <w:tcBorders>
              <w:top w:val="nil"/>
              <w:left w:val="nil"/>
              <w:bottom w:val="double" w:sz="6" w:space="0" w:color="E26B0A"/>
              <w:right w:val="double" w:sz="6" w:space="0" w:color="E26B0A"/>
            </w:tcBorders>
            <w:shd w:val="clear" w:color="000000" w:fill="FABF8F"/>
            <w:noWrap/>
            <w:vAlign w:val="bottom"/>
            <w:hideMark/>
          </w:tcPr>
          <w:p w14:paraId="002CF05B"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-4,7%</w:t>
            </w:r>
          </w:p>
        </w:tc>
      </w:tr>
      <w:tr w:rsidR="001E4B17" w:rsidRPr="00467EA2" w14:paraId="1508FB95" w14:textId="77777777" w:rsidTr="001E4B17">
        <w:trPr>
          <w:trHeight w:val="300"/>
        </w:trPr>
        <w:tc>
          <w:tcPr>
            <w:tcW w:w="9923" w:type="dxa"/>
            <w:gridSpan w:val="6"/>
            <w:tcBorders>
              <w:top w:val="double" w:sz="6" w:space="0" w:color="E26B0A"/>
              <w:left w:val="double" w:sz="6" w:space="0" w:color="E26B0A"/>
              <w:bottom w:val="double" w:sz="6" w:space="0" w:color="E26B0A"/>
              <w:right w:val="double" w:sz="6" w:space="0" w:color="E26B0A"/>
            </w:tcBorders>
            <w:shd w:val="clear" w:color="000000" w:fill="E26B0A"/>
            <w:noWrap/>
            <w:vAlign w:val="bottom"/>
            <w:hideMark/>
          </w:tcPr>
          <w:p w14:paraId="68565ADB" w14:textId="77777777" w:rsidR="001E4B17" w:rsidRPr="00467EA2" w:rsidRDefault="001E4B17" w:rsidP="00985FAB">
            <w:pPr>
              <w:jc w:val="center"/>
              <w:rPr>
                <w:rFonts w:eastAsia="Times New Roman" w:cs="Calibri"/>
                <w:b/>
                <w:bCs/>
                <w:color w:val="FFFFFF"/>
                <w:sz w:val="20"/>
                <w:szCs w:val="20"/>
                <w:lang w:val="en-US"/>
              </w:rPr>
            </w:pPr>
            <w:r w:rsidRPr="00467EA2">
              <w:rPr>
                <w:rFonts w:eastAsia="Times New Roman" w:cs="Calibri"/>
                <w:b/>
                <w:bCs/>
                <w:color w:val="FFFFFF"/>
                <w:sz w:val="20"/>
                <w:szCs w:val="20"/>
                <w:lang w:val="en-US"/>
              </w:rPr>
              <w:t>Ликвидност:</w:t>
            </w:r>
          </w:p>
        </w:tc>
      </w:tr>
      <w:tr w:rsidR="001E4B17" w:rsidRPr="00467EA2" w14:paraId="3701D195" w14:textId="77777777" w:rsidTr="001E4B17">
        <w:trPr>
          <w:trHeight w:val="300"/>
        </w:trPr>
        <w:tc>
          <w:tcPr>
            <w:tcW w:w="419" w:type="dxa"/>
            <w:tcBorders>
              <w:top w:val="nil"/>
              <w:left w:val="double" w:sz="6" w:space="0" w:color="E26B0A"/>
              <w:bottom w:val="double" w:sz="6" w:space="0" w:color="E26B0A"/>
              <w:right w:val="double" w:sz="6" w:space="0" w:color="E26B0A"/>
            </w:tcBorders>
            <w:shd w:val="clear" w:color="auto" w:fill="auto"/>
            <w:noWrap/>
            <w:vAlign w:val="bottom"/>
            <w:hideMark/>
          </w:tcPr>
          <w:p w14:paraId="14A83F13" w14:textId="77777777" w:rsidR="001E4B17" w:rsidRPr="00467EA2" w:rsidRDefault="001E4B17" w:rsidP="00985FAB">
            <w:pPr>
              <w:jc w:val="center"/>
              <w:rPr>
                <w:rFonts w:eastAsia="Times New Roman" w:cs="Calibri"/>
                <w:sz w:val="20"/>
                <w:szCs w:val="20"/>
                <w:lang w:val="en-US"/>
              </w:rPr>
            </w:pPr>
            <w:r w:rsidRPr="00467EA2">
              <w:rPr>
                <w:rFonts w:eastAsia="Times New Roman" w:cs="Calibri"/>
                <w:sz w:val="20"/>
                <w:szCs w:val="20"/>
                <w:lang w:val="en-US"/>
              </w:rPr>
              <w:t>23</w:t>
            </w:r>
          </w:p>
        </w:tc>
        <w:tc>
          <w:tcPr>
            <w:tcW w:w="5393" w:type="dxa"/>
            <w:tcBorders>
              <w:top w:val="nil"/>
              <w:left w:val="nil"/>
              <w:bottom w:val="double" w:sz="6" w:space="0" w:color="E26B0A"/>
              <w:right w:val="double" w:sz="6" w:space="0" w:color="E26B0A"/>
            </w:tcBorders>
            <w:shd w:val="clear" w:color="auto" w:fill="auto"/>
            <w:noWrap/>
            <w:vAlign w:val="bottom"/>
            <w:hideMark/>
          </w:tcPr>
          <w:p w14:paraId="15887B5F" w14:textId="77777777" w:rsidR="001E4B17" w:rsidRPr="00467EA2" w:rsidRDefault="001E4B17" w:rsidP="00985FAB">
            <w:pPr>
              <w:rPr>
                <w:rFonts w:eastAsia="Times New Roman" w:cs="Calibri"/>
                <w:sz w:val="20"/>
                <w:szCs w:val="20"/>
                <w:lang w:val="en-US"/>
              </w:rPr>
            </w:pPr>
            <w:r w:rsidRPr="00467EA2">
              <w:rPr>
                <w:rFonts w:eastAsia="Times New Roman" w:cs="Calibri"/>
                <w:sz w:val="20"/>
                <w:szCs w:val="20"/>
                <w:lang w:val="en-US"/>
              </w:rPr>
              <w:t>Коеф. на обща ликвидност (10/11)</w:t>
            </w:r>
          </w:p>
        </w:tc>
        <w:tc>
          <w:tcPr>
            <w:tcW w:w="1134" w:type="dxa"/>
            <w:tcBorders>
              <w:top w:val="nil"/>
              <w:left w:val="nil"/>
              <w:bottom w:val="double" w:sz="6" w:space="0" w:color="E26B0A"/>
              <w:right w:val="double" w:sz="6" w:space="0" w:color="E26B0A"/>
            </w:tcBorders>
            <w:shd w:val="clear" w:color="000000" w:fill="FABF8F"/>
            <w:noWrap/>
            <w:vAlign w:val="bottom"/>
            <w:hideMark/>
          </w:tcPr>
          <w:p w14:paraId="2FF19938"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1,7200</w:t>
            </w:r>
          </w:p>
        </w:tc>
        <w:tc>
          <w:tcPr>
            <w:tcW w:w="992" w:type="dxa"/>
            <w:tcBorders>
              <w:top w:val="nil"/>
              <w:left w:val="nil"/>
              <w:bottom w:val="double" w:sz="6" w:space="0" w:color="E26B0A"/>
              <w:right w:val="double" w:sz="6" w:space="0" w:color="E26B0A"/>
            </w:tcBorders>
            <w:shd w:val="clear" w:color="000000" w:fill="FABF8F"/>
            <w:noWrap/>
            <w:vAlign w:val="bottom"/>
            <w:hideMark/>
          </w:tcPr>
          <w:p w14:paraId="628FCB8A"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1,9095</w:t>
            </w:r>
          </w:p>
        </w:tc>
        <w:tc>
          <w:tcPr>
            <w:tcW w:w="993" w:type="dxa"/>
            <w:tcBorders>
              <w:top w:val="nil"/>
              <w:left w:val="nil"/>
              <w:bottom w:val="double" w:sz="6" w:space="0" w:color="E26B0A"/>
              <w:right w:val="double" w:sz="6" w:space="0" w:color="E26B0A"/>
            </w:tcBorders>
            <w:shd w:val="clear" w:color="000000" w:fill="FABF8F"/>
            <w:noWrap/>
            <w:vAlign w:val="bottom"/>
            <w:hideMark/>
          </w:tcPr>
          <w:p w14:paraId="418050F0"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-0,1895</w:t>
            </w:r>
          </w:p>
        </w:tc>
        <w:tc>
          <w:tcPr>
            <w:tcW w:w="992" w:type="dxa"/>
            <w:tcBorders>
              <w:top w:val="nil"/>
              <w:left w:val="nil"/>
              <w:bottom w:val="double" w:sz="6" w:space="0" w:color="E26B0A"/>
              <w:right w:val="double" w:sz="6" w:space="0" w:color="E26B0A"/>
            </w:tcBorders>
            <w:shd w:val="clear" w:color="000000" w:fill="FABF8F"/>
            <w:noWrap/>
            <w:vAlign w:val="bottom"/>
            <w:hideMark/>
          </w:tcPr>
          <w:p w14:paraId="72ADDEED"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-9,9%</w:t>
            </w:r>
          </w:p>
        </w:tc>
      </w:tr>
      <w:tr w:rsidR="001E4B17" w:rsidRPr="00467EA2" w14:paraId="76D24B21" w14:textId="77777777" w:rsidTr="001E4B17">
        <w:trPr>
          <w:trHeight w:val="300"/>
        </w:trPr>
        <w:tc>
          <w:tcPr>
            <w:tcW w:w="419" w:type="dxa"/>
            <w:tcBorders>
              <w:top w:val="nil"/>
              <w:left w:val="double" w:sz="6" w:space="0" w:color="E26B0A"/>
              <w:bottom w:val="double" w:sz="6" w:space="0" w:color="E26B0A"/>
              <w:right w:val="double" w:sz="6" w:space="0" w:color="E26B0A"/>
            </w:tcBorders>
            <w:shd w:val="clear" w:color="auto" w:fill="auto"/>
            <w:noWrap/>
            <w:vAlign w:val="bottom"/>
            <w:hideMark/>
          </w:tcPr>
          <w:p w14:paraId="5BD212CD" w14:textId="77777777" w:rsidR="001E4B17" w:rsidRPr="00467EA2" w:rsidRDefault="001E4B17" w:rsidP="00985FAB">
            <w:pPr>
              <w:jc w:val="center"/>
              <w:rPr>
                <w:rFonts w:eastAsia="Times New Roman" w:cs="Calibri"/>
                <w:sz w:val="20"/>
                <w:szCs w:val="20"/>
                <w:lang w:val="en-US"/>
              </w:rPr>
            </w:pPr>
            <w:r w:rsidRPr="00467EA2">
              <w:rPr>
                <w:rFonts w:eastAsia="Times New Roman" w:cs="Calibri"/>
                <w:sz w:val="20"/>
                <w:szCs w:val="20"/>
                <w:lang w:val="en-US"/>
              </w:rPr>
              <w:t>24</w:t>
            </w:r>
          </w:p>
        </w:tc>
        <w:tc>
          <w:tcPr>
            <w:tcW w:w="5393" w:type="dxa"/>
            <w:tcBorders>
              <w:top w:val="nil"/>
              <w:left w:val="nil"/>
              <w:bottom w:val="double" w:sz="6" w:space="0" w:color="E26B0A"/>
              <w:right w:val="double" w:sz="6" w:space="0" w:color="E26B0A"/>
            </w:tcBorders>
            <w:shd w:val="clear" w:color="auto" w:fill="auto"/>
            <w:noWrap/>
            <w:vAlign w:val="bottom"/>
            <w:hideMark/>
          </w:tcPr>
          <w:p w14:paraId="25281BDD" w14:textId="77777777" w:rsidR="001E4B17" w:rsidRPr="00467EA2" w:rsidRDefault="001E4B17" w:rsidP="00985FAB">
            <w:pPr>
              <w:rPr>
                <w:rFonts w:eastAsia="Times New Roman" w:cs="Calibri"/>
                <w:sz w:val="20"/>
                <w:szCs w:val="20"/>
                <w:lang w:val="en-US"/>
              </w:rPr>
            </w:pPr>
            <w:r w:rsidRPr="00467EA2">
              <w:rPr>
                <w:rFonts w:eastAsia="Times New Roman" w:cs="Calibri"/>
                <w:sz w:val="20"/>
                <w:szCs w:val="20"/>
                <w:lang w:val="en-US"/>
              </w:rPr>
              <w:t>Коеф. на бърза ликвидност  (12+13+14)/11</w:t>
            </w:r>
          </w:p>
        </w:tc>
        <w:tc>
          <w:tcPr>
            <w:tcW w:w="1134" w:type="dxa"/>
            <w:tcBorders>
              <w:top w:val="nil"/>
              <w:left w:val="nil"/>
              <w:bottom w:val="double" w:sz="6" w:space="0" w:color="E26B0A"/>
              <w:right w:val="double" w:sz="6" w:space="0" w:color="E26B0A"/>
            </w:tcBorders>
            <w:shd w:val="clear" w:color="000000" w:fill="FABF8F"/>
            <w:noWrap/>
            <w:vAlign w:val="bottom"/>
            <w:hideMark/>
          </w:tcPr>
          <w:p w14:paraId="0EC1BB83"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1,7600</w:t>
            </w:r>
          </w:p>
        </w:tc>
        <w:tc>
          <w:tcPr>
            <w:tcW w:w="992" w:type="dxa"/>
            <w:tcBorders>
              <w:top w:val="nil"/>
              <w:left w:val="nil"/>
              <w:bottom w:val="double" w:sz="6" w:space="0" w:color="E26B0A"/>
              <w:right w:val="double" w:sz="6" w:space="0" w:color="E26B0A"/>
            </w:tcBorders>
            <w:shd w:val="clear" w:color="000000" w:fill="FABF8F"/>
            <w:noWrap/>
            <w:vAlign w:val="bottom"/>
            <w:hideMark/>
          </w:tcPr>
          <w:p w14:paraId="39435C58"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1,8371</w:t>
            </w:r>
          </w:p>
        </w:tc>
        <w:tc>
          <w:tcPr>
            <w:tcW w:w="993" w:type="dxa"/>
            <w:tcBorders>
              <w:top w:val="nil"/>
              <w:left w:val="nil"/>
              <w:bottom w:val="double" w:sz="6" w:space="0" w:color="E26B0A"/>
              <w:right w:val="double" w:sz="6" w:space="0" w:color="E26B0A"/>
            </w:tcBorders>
            <w:shd w:val="clear" w:color="000000" w:fill="FABF8F"/>
            <w:noWrap/>
            <w:vAlign w:val="bottom"/>
            <w:hideMark/>
          </w:tcPr>
          <w:p w14:paraId="683A67F2"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-0,0771</w:t>
            </w:r>
          </w:p>
        </w:tc>
        <w:tc>
          <w:tcPr>
            <w:tcW w:w="992" w:type="dxa"/>
            <w:tcBorders>
              <w:top w:val="nil"/>
              <w:left w:val="nil"/>
              <w:bottom w:val="double" w:sz="6" w:space="0" w:color="E26B0A"/>
              <w:right w:val="double" w:sz="6" w:space="0" w:color="E26B0A"/>
            </w:tcBorders>
            <w:shd w:val="clear" w:color="000000" w:fill="FABF8F"/>
            <w:noWrap/>
            <w:vAlign w:val="bottom"/>
            <w:hideMark/>
          </w:tcPr>
          <w:p w14:paraId="23B28FCC"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-4,2%</w:t>
            </w:r>
          </w:p>
        </w:tc>
      </w:tr>
      <w:tr w:rsidR="001E4B17" w:rsidRPr="00467EA2" w14:paraId="45AF06DD" w14:textId="77777777" w:rsidTr="001E4B17">
        <w:trPr>
          <w:trHeight w:val="300"/>
        </w:trPr>
        <w:tc>
          <w:tcPr>
            <w:tcW w:w="419" w:type="dxa"/>
            <w:tcBorders>
              <w:top w:val="nil"/>
              <w:left w:val="double" w:sz="6" w:space="0" w:color="E26B0A"/>
              <w:bottom w:val="double" w:sz="6" w:space="0" w:color="E26B0A"/>
              <w:right w:val="double" w:sz="6" w:space="0" w:color="E26B0A"/>
            </w:tcBorders>
            <w:shd w:val="clear" w:color="auto" w:fill="auto"/>
            <w:noWrap/>
            <w:vAlign w:val="bottom"/>
            <w:hideMark/>
          </w:tcPr>
          <w:p w14:paraId="7C99226D" w14:textId="77777777" w:rsidR="001E4B17" w:rsidRPr="00467EA2" w:rsidRDefault="001E4B17" w:rsidP="00985FAB">
            <w:pPr>
              <w:jc w:val="center"/>
              <w:rPr>
                <w:rFonts w:eastAsia="Times New Roman" w:cs="Calibri"/>
                <w:sz w:val="20"/>
                <w:szCs w:val="20"/>
                <w:lang w:val="en-US"/>
              </w:rPr>
            </w:pPr>
            <w:r w:rsidRPr="00467EA2">
              <w:rPr>
                <w:rFonts w:eastAsia="Times New Roman" w:cs="Calibri"/>
                <w:sz w:val="20"/>
                <w:szCs w:val="20"/>
                <w:lang w:val="en-US"/>
              </w:rPr>
              <w:t>25</w:t>
            </w:r>
          </w:p>
        </w:tc>
        <w:tc>
          <w:tcPr>
            <w:tcW w:w="5393" w:type="dxa"/>
            <w:tcBorders>
              <w:top w:val="nil"/>
              <w:left w:val="nil"/>
              <w:bottom w:val="double" w:sz="6" w:space="0" w:color="E26B0A"/>
              <w:right w:val="double" w:sz="6" w:space="0" w:color="E26B0A"/>
            </w:tcBorders>
            <w:shd w:val="clear" w:color="auto" w:fill="auto"/>
            <w:noWrap/>
            <w:vAlign w:val="bottom"/>
            <w:hideMark/>
          </w:tcPr>
          <w:p w14:paraId="19CAB01A" w14:textId="77777777" w:rsidR="001E4B17" w:rsidRPr="00467EA2" w:rsidRDefault="001E4B17" w:rsidP="00985FAB">
            <w:pPr>
              <w:rPr>
                <w:rFonts w:eastAsia="Times New Roman" w:cs="Calibri"/>
                <w:sz w:val="20"/>
                <w:szCs w:val="20"/>
                <w:lang w:val="en-US"/>
              </w:rPr>
            </w:pPr>
            <w:r w:rsidRPr="00467EA2">
              <w:rPr>
                <w:rFonts w:eastAsia="Times New Roman" w:cs="Calibri"/>
                <w:sz w:val="20"/>
                <w:szCs w:val="20"/>
                <w:lang w:val="en-US"/>
              </w:rPr>
              <w:t>Коеф. на незабавна ликвидност (13+14)/11</w:t>
            </w:r>
          </w:p>
        </w:tc>
        <w:tc>
          <w:tcPr>
            <w:tcW w:w="1134" w:type="dxa"/>
            <w:tcBorders>
              <w:top w:val="nil"/>
              <w:left w:val="nil"/>
              <w:bottom w:val="double" w:sz="6" w:space="0" w:color="E26B0A"/>
              <w:right w:val="double" w:sz="6" w:space="0" w:color="E26B0A"/>
            </w:tcBorders>
            <w:shd w:val="clear" w:color="000000" w:fill="FABF8F"/>
            <w:noWrap/>
            <w:vAlign w:val="bottom"/>
            <w:hideMark/>
          </w:tcPr>
          <w:p w14:paraId="0FD29CB5"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1,1200</w:t>
            </w:r>
          </w:p>
        </w:tc>
        <w:tc>
          <w:tcPr>
            <w:tcW w:w="992" w:type="dxa"/>
            <w:tcBorders>
              <w:top w:val="nil"/>
              <w:left w:val="nil"/>
              <w:bottom w:val="double" w:sz="6" w:space="0" w:color="E26B0A"/>
              <w:right w:val="double" w:sz="6" w:space="0" w:color="E26B0A"/>
            </w:tcBorders>
            <w:shd w:val="clear" w:color="000000" w:fill="FABF8F"/>
            <w:noWrap/>
            <w:vAlign w:val="bottom"/>
            <w:hideMark/>
          </w:tcPr>
          <w:p w14:paraId="1DD27544"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1,1267</w:t>
            </w:r>
          </w:p>
        </w:tc>
        <w:tc>
          <w:tcPr>
            <w:tcW w:w="993" w:type="dxa"/>
            <w:tcBorders>
              <w:top w:val="nil"/>
              <w:left w:val="nil"/>
              <w:bottom w:val="double" w:sz="6" w:space="0" w:color="E26B0A"/>
              <w:right w:val="double" w:sz="6" w:space="0" w:color="E26B0A"/>
            </w:tcBorders>
            <w:shd w:val="clear" w:color="000000" w:fill="FABF8F"/>
            <w:noWrap/>
            <w:vAlign w:val="bottom"/>
            <w:hideMark/>
          </w:tcPr>
          <w:p w14:paraId="2DE97D4F"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-0,0067</w:t>
            </w:r>
          </w:p>
        </w:tc>
        <w:tc>
          <w:tcPr>
            <w:tcW w:w="992" w:type="dxa"/>
            <w:tcBorders>
              <w:top w:val="nil"/>
              <w:left w:val="nil"/>
              <w:bottom w:val="double" w:sz="6" w:space="0" w:color="E26B0A"/>
              <w:right w:val="double" w:sz="6" w:space="0" w:color="E26B0A"/>
            </w:tcBorders>
            <w:shd w:val="clear" w:color="000000" w:fill="FABF8F"/>
            <w:noWrap/>
            <w:vAlign w:val="bottom"/>
            <w:hideMark/>
          </w:tcPr>
          <w:p w14:paraId="7178FDBD"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-0,6%</w:t>
            </w:r>
          </w:p>
        </w:tc>
      </w:tr>
      <w:tr w:rsidR="001E4B17" w:rsidRPr="00467EA2" w14:paraId="736FAAF4" w14:textId="77777777" w:rsidTr="001E4B17">
        <w:trPr>
          <w:trHeight w:val="300"/>
        </w:trPr>
        <w:tc>
          <w:tcPr>
            <w:tcW w:w="419" w:type="dxa"/>
            <w:tcBorders>
              <w:top w:val="nil"/>
              <w:left w:val="double" w:sz="6" w:space="0" w:color="E26B0A"/>
              <w:bottom w:val="double" w:sz="6" w:space="0" w:color="E26B0A"/>
              <w:right w:val="double" w:sz="6" w:space="0" w:color="E26B0A"/>
            </w:tcBorders>
            <w:shd w:val="clear" w:color="auto" w:fill="auto"/>
            <w:noWrap/>
            <w:vAlign w:val="bottom"/>
            <w:hideMark/>
          </w:tcPr>
          <w:p w14:paraId="66A72FF0" w14:textId="77777777" w:rsidR="001E4B17" w:rsidRPr="00467EA2" w:rsidRDefault="001E4B17" w:rsidP="00985FAB">
            <w:pPr>
              <w:jc w:val="center"/>
              <w:rPr>
                <w:rFonts w:eastAsia="Times New Roman" w:cs="Calibri"/>
                <w:sz w:val="20"/>
                <w:szCs w:val="20"/>
                <w:lang w:val="en-US"/>
              </w:rPr>
            </w:pPr>
            <w:r w:rsidRPr="00467EA2">
              <w:rPr>
                <w:rFonts w:eastAsia="Times New Roman" w:cs="Calibri"/>
                <w:sz w:val="20"/>
                <w:szCs w:val="20"/>
                <w:lang w:val="en-US"/>
              </w:rPr>
              <w:t>26</w:t>
            </w:r>
          </w:p>
        </w:tc>
        <w:tc>
          <w:tcPr>
            <w:tcW w:w="5393" w:type="dxa"/>
            <w:tcBorders>
              <w:top w:val="nil"/>
              <w:left w:val="nil"/>
              <w:bottom w:val="double" w:sz="6" w:space="0" w:color="E26B0A"/>
              <w:right w:val="double" w:sz="6" w:space="0" w:color="E26B0A"/>
            </w:tcBorders>
            <w:shd w:val="clear" w:color="auto" w:fill="auto"/>
            <w:noWrap/>
            <w:vAlign w:val="bottom"/>
            <w:hideMark/>
          </w:tcPr>
          <w:p w14:paraId="36E6FA5B" w14:textId="77777777" w:rsidR="001E4B17" w:rsidRPr="00467EA2" w:rsidRDefault="001E4B17" w:rsidP="00985FAB">
            <w:pPr>
              <w:rPr>
                <w:rFonts w:eastAsia="Times New Roman" w:cs="Calibri"/>
                <w:sz w:val="20"/>
                <w:szCs w:val="20"/>
                <w:lang w:val="en-US"/>
              </w:rPr>
            </w:pPr>
            <w:r w:rsidRPr="00467EA2">
              <w:rPr>
                <w:rFonts w:eastAsia="Times New Roman" w:cs="Calibri"/>
                <w:sz w:val="20"/>
                <w:szCs w:val="20"/>
                <w:lang w:val="en-US"/>
              </w:rPr>
              <w:t>Коеф. на абсолютна ликвидност (14/11)</w:t>
            </w:r>
          </w:p>
        </w:tc>
        <w:tc>
          <w:tcPr>
            <w:tcW w:w="1134" w:type="dxa"/>
            <w:tcBorders>
              <w:top w:val="nil"/>
              <w:left w:val="nil"/>
              <w:bottom w:val="double" w:sz="6" w:space="0" w:color="E26B0A"/>
              <w:right w:val="double" w:sz="6" w:space="0" w:color="E26B0A"/>
            </w:tcBorders>
            <w:shd w:val="clear" w:color="000000" w:fill="FABF8F"/>
            <w:noWrap/>
            <w:vAlign w:val="bottom"/>
            <w:hideMark/>
          </w:tcPr>
          <w:p w14:paraId="561F4BAD"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1,1200</w:t>
            </w:r>
          </w:p>
        </w:tc>
        <w:tc>
          <w:tcPr>
            <w:tcW w:w="992" w:type="dxa"/>
            <w:tcBorders>
              <w:top w:val="nil"/>
              <w:left w:val="nil"/>
              <w:bottom w:val="double" w:sz="6" w:space="0" w:color="E26B0A"/>
              <w:right w:val="double" w:sz="6" w:space="0" w:color="E26B0A"/>
            </w:tcBorders>
            <w:shd w:val="clear" w:color="000000" w:fill="FABF8F"/>
            <w:noWrap/>
            <w:vAlign w:val="bottom"/>
            <w:hideMark/>
          </w:tcPr>
          <w:p w14:paraId="09A704CB"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1,1267</w:t>
            </w:r>
          </w:p>
        </w:tc>
        <w:tc>
          <w:tcPr>
            <w:tcW w:w="993" w:type="dxa"/>
            <w:tcBorders>
              <w:top w:val="nil"/>
              <w:left w:val="nil"/>
              <w:bottom w:val="double" w:sz="6" w:space="0" w:color="E26B0A"/>
              <w:right w:val="double" w:sz="6" w:space="0" w:color="E26B0A"/>
            </w:tcBorders>
            <w:shd w:val="clear" w:color="000000" w:fill="FABF8F"/>
            <w:noWrap/>
            <w:vAlign w:val="bottom"/>
            <w:hideMark/>
          </w:tcPr>
          <w:p w14:paraId="676F8429"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-0,0067</w:t>
            </w:r>
          </w:p>
        </w:tc>
        <w:tc>
          <w:tcPr>
            <w:tcW w:w="992" w:type="dxa"/>
            <w:tcBorders>
              <w:top w:val="nil"/>
              <w:left w:val="nil"/>
              <w:bottom w:val="double" w:sz="6" w:space="0" w:color="E26B0A"/>
              <w:right w:val="double" w:sz="6" w:space="0" w:color="E26B0A"/>
            </w:tcBorders>
            <w:shd w:val="clear" w:color="000000" w:fill="FABF8F"/>
            <w:noWrap/>
            <w:vAlign w:val="bottom"/>
            <w:hideMark/>
          </w:tcPr>
          <w:p w14:paraId="3C2DFD60"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-0,6%</w:t>
            </w:r>
          </w:p>
        </w:tc>
      </w:tr>
      <w:tr w:rsidR="001E4B17" w:rsidRPr="00467EA2" w14:paraId="32AE9982" w14:textId="77777777" w:rsidTr="001E4B17">
        <w:trPr>
          <w:trHeight w:val="300"/>
        </w:trPr>
        <w:tc>
          <w:tcPr>
            <w:tcW w:w="9923" w:type="dxa"/>
            <w:gridSpan w:val="6"/>
            <w:tcBorders>
              <w:top w:val="double" w:sz="6" w:space="0" w:color="E26B0A"/>
              <w:left w:val="double" w:sz="6" w:space="0" w:color="E26B0A"/>
              <w:bottom w:val="double" w:sz="6" w:space="0" w:color="E26B0A"/>
              <w:right w:val="double" w:sz="6" w:space="0" w:color="E26B0A"/>
            </w:tcBorders>
            <w:shd w:val="clear" w:color="000000" w:fill="E26B0A"/>
            <w:noWrap/>
            <w:vAlign w:val="bottom"/>
            <w:hideMark/>
          </w:tcPr>
          <w:p w14:paraId="1DFE5611" w14:textId="77777777" w:rsidR="001E4B17" w:rsidRPr="00467EA2" w:rsidRDefault="001E4B17" w:rsidP="00985FAB">
            <w:pPr>
              <w:jc w:val="center"/>
              <w:rPr>
                <w:rFonts w:eastAsia="Times New Roman" w:cs="Calibri"/>
                <w:b/>
                <w:bCs/>
                <w:color w:val="FFFFFF"/>
                <w:sz w:val="20"/>
                <w:szCs w:val="20"/>
                <w:lang w:val="en-US"/>
              </w:rPr>
            </w:pPr>
            <w:r w:rsidRPr="00467EA2">
              <w:rPr>
                <w:rFonts w:eastAsia="Times New Roman" w:cs="Calibri"/>
                <w:b/>
                <w:bCs/>
                <w:color w:val="FFFFFF"/>
                <w:sz w:val="20"/>
                <w:szCs w:val="20"/>
                <w:lang w:val="en-US"/>
              </w:rPr>
              <w:t>Финансова автономност:</w:t>
            </w:r>
          </w:p>
        </w:tc>
      </w:tr>
      <w:tr w:rsidR="001E4B17" w:rsidRPr="00467EA2" w14:paraId="082DD9A6" w14:textId="77777777" w:rsidTr="001E4B17">
        <w:trPr>
          <w:trHeight w:val="300"/>
        </w:trPr>
        <w:tc>
          <w:tcPr>
            <w:tcW w:w="419" w:type="dxa"/>
            <w:tcBorders>
              <w:top w:val="nil"/>
              <w:left w:val="double" w:sz="6" w:space="0" w:color="E26B0A"/>
              <w:bottom w:val="double" w:sz="6" w:space="0" w:color="E26B0A"/>
              <w:right w:val="double" w:sz="6" w:space="0" w:color="E26B0A"/>
            </w:tcBorders>
            <w:shd w:val="clear" w:color="auto" w:fill="auto"/>
            <w:noWrap/>
            <w:vAlign w:val="bottom"/>
            <w:hideMark/>
          </w:tcPr>
          <w:p w14:paraId="6F43E651" w14:textId="77777777" w:rsidR="001E4B17" w:rsidRPr="00467EA2" w:rsidRDefault="001E4B17" w:rsidP="00985FAB">
            <w:pPr>
              <w:jc w:val="center"/>
              <w:rPr>
                <w:rFonts w:eastAsia="Times New Roman" w:cs="Calibri"/>
                <w:sz w:val="20"/>
                <w:szCs w:val="20"/>
                <w:lang w:val="en-US"/>
              </w:rPr>
            </w:pPr>
            <w:r w:rsidRPr="00467EA2">
              <w:rPr>
                <w:rFonts w:eastAsia="Times New Roman" w:cs="Calibri"/>
                <w:sz w:val="20"/>
                <w:szCs w:val="20"/>
                <w:lang w:val="en-US"/>
              </w:rPr>
              <w:t>27</w:t>
            </w:r>
          </w:p>
        </w:tc>
        <w:tc>
          <w:tcPr>
            <w:tcW w:w="5393" w:type="dxa"/>
            <w:tcBorders>
              <w:top w:val="nil"/>
              <w:left w:val="nil"/>
              <w:bottom w:val="double" w:sz="6" w:space="0" w:color="E26B0A"/>
              <w:right w:val="double" w:sz="6" w:space="0" w:color="E26B0A"/>
            </w:tcBorders>
            <w:shd w:val="clear" w:color="auto" w:fill="auto"/>
            <w:noWrap/>
            <w:vAlign w:val="bottom"/>
            <w:hideMark/>
          </w:tcPr>
          <w:p w14:paraId="1AE7A651" w14:textId="77777777" w:rsidR="001E4B17" w:rsidRPr="00467EA2" w:rsidRDefault="001E4B17" w:rsidP="00985FAB">
            <w:pPr>
              <w:rPr>
                <w:rFonts w:eastAsia="Times New Roman" w:cs="Calibri"/>
                <w:sz w:val="20"/>
                <w:szCs w:val="20"/>
                <w:lang w:val="en-US"/>
              </w:rPr>
            </w:pPr>
            <w:r w:rsidRPr="00467EA2">
              <w:rPr>
                <w:rFonts w:eastAsia="Times New Roman" w:cs="Calibri"/>
                <w:sz w:val="20"/>
                <w:szCs w:val="20"/>
                <w:lang w:val="en-US"/>
              </w:rPr>
              <w:t>Коеф. на финансова автономност (7/8)</w:t>
            </w:r>
          </w:p>
        </w:tc>
        <w:tc>
          <w:tcPr>
            <w:tcW w:w="1134" w:type="dxa"/>
            <w:tcBorders>
              <w:top w:val="nil"/>
              <w:left w:val="nil"/>
              <w:bottom w:val="double" w:sz="6" w:space="0" w:color="E26B0A"/>
              <w:right w:val="double" w:sz="6" w:space="0" w:color="E26B0A"/>
            </w:tcBorders>
            <w:shd w:val="clear" w:color="000000" w:fill="FABF8F"/>
            <w:noWrap/>
            <w:vAlign w:val="bottom"/>
            <w:hideMark/>
          </w:tcPr>
          <w:p w14:paraId="43E432B0"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0,8127</w:t>
            </w:r>
          </w:p>
        </w:tc>
        <w:tc>
          <w:tcPr>
            <w:tcW w:w="992" w:type="dxa"/>
            <w:tcBorders>
              <w:top w:val="nil"/>
              <w:left w:val="nil"/>
              <w:bottom w:val="double" w:sz="6" w:space="0" w:color="E26B0A"/>
              <w:right w:val="double" w:sz="6" w:space="0" w:color="E26B0A"/>
            </w:tcBorders>
            <w:shd w:val="clear" w:color="000000" w:fill="FABF8F"/>
            <w:noWrap/>
            <w:vAlign w:val="bottom"/>
            <w:hideMark/>
          </w:tcPr>
          <w:p w14:paraId="24796BCC"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0,5672</w:t>
            </w:r>
          </w:p>
        </w:tc>
        <w:tc>
          <w:tcPr>
            <w:tcW w:w="993" w:type="dxa"/>
            <w:tcBorders>
              <w:top w:val="nil"/>
              <w:left w:val="nil"/>
              <w:bottom w:val="double" w:sz="6" w:space="0" w:color="E26B0A"/>
              <w:right w:val="double" w:sz="6" w:space="0" w:color="E26B0A"/>
            </w:tcBorders>
            <w:shd w:val="clear" w:color="000000" w:fill="FABF8F"/>
            <w:noWrap/>
            <w:vAlign w:val="bottom"/>
            <w:hideMark/>
          </w:tcPr>
          <w:p w14:paraId="61292D20"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0,2455</w:t>
            </w:r>
          </w:p>
        </w:tc>
        <w:tc>
          <w:tcPr>
            <w:tcW w:w="992" w:type="dxa"/>
            <w:tcBorders>
              <w:top w:val="nil"/>
              <w:left w:val="nil"/>
              <w:bottom w:val="double" w:sz="6" w:space="0" w:color="E26B0A"/>
              <w:right w:val="double" w:sz="6" w:space="0" w:color="E26B0A"/>
            </w:tcBorders>
            <w:shd w:val="clear" w:color="000000" w:fill="FABF8F"/>
            <w:noWrap/>
            <w:vAlign w:val="bottom"/>
            <w:hideMark/>
          </w:tcPr>
          <w:p w14:paraId="03B5116D"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43,3%</w:t>
            </w:r>
          </w:p>
        </w:tc>
      </w:tr>
      <w:tr w:rsidR="001E4B17" w:rsidRPr="00467EA2" w14:paraId="1B6FF56C" w14:textId="77777777" w:rsidTr="001E4B17">
        <w:trPr>
          <w:trHeight w:val="300"/>
        </w:trPr>
        <w:tc>
          <w:tcPr>
            <w:tcW w:w="419" w:type="dxa"/>
            <w:tcBorders>
              <w:top w:val="nil"/>
              <w:left w:val="double" w:sz="6" w:space="0" w:color="E26B0A"/>
              <w:bottom w:val="double" w:sz="6" w:space="0" w:color="E26B0A"/>
              <w:right w:val="double" w:sz="6" w:space="0" w:color="E26B0A"/>
            </w:tcBorders>
            <w:shd w:val="clear" w:color="auto" w:fill="auto"/>
            <w:noWrap/>
            <w:vAlign w:val="bottom"/>
            <w:hideMark/>
          </w:tcPr>
          <w:p w14:paraId="62036F39" w14:textId="77777777" w:rsidR="001E4B17" w:rsidRPr="00467EA2" w:rsidRDefault="001E4B17" w:rsidP="00985FAB">
            <w:pPr>
              <w:jc w:val="center"/>
              <w:rPr>
                <w:rFonts w:eastAsia="Times New Roman" w:cs="Calibri"/>
                <w:sz w:val="20"/>
                <w:szCs w:val="20"/>
                <w:lang w:val="en-US"/>
              </w:rPr>
            </w:pPr>
            <w:r w:rsidRPr="00467EA2">
              <w:rPr>
                <w:rFonts w:eastAsia="Times New Roman" w:cs="Calibri"/>
                <w:sz w:val="20"/>
                <w:szCs w:val="20"/>
                <w:lang w:val="en-US"/>
              </w:rPr>
              <w:t>28</w:t>
            </w:r>
          </w:p>
        </w:tc>
        <w:tc>
          <w:tcPr>
            <w:tcW w:w="5393" w:type="dxa"/>
            <w:tcBorders>
              <w:top w:val="nil"/>
              <w:left w:val="nil"/>
              <w:bottom w:val="double" w:sz="6" w:space="0" w:color="E26B0A"/>
              <w:right w:val="double" w:sz="6" w:space="0" w:color="E26B0A"/>
            </w:tcBorders>
            <w:shd w:val="clear" w:color="auto" w:fill="auto"/>
            <w:noWrap/>
            <w:vAlign w:val="bottom"/>
            <w:hideMark/>
          </w:tcPr>
          <w:p w14:paraId="38CEC735" w14:textId="77777777" w:rsidR="001E4B17" w:rsidRPr="00467EA2" w:rsidRDefault="001E4B17" w:rsidP="00985FAB">
            <w:pPr>
              <w:rPr>
                <w:rFonts w:eastAsia="Times New Roman" w:cs="Calibri"/>
                <w:sz w:val="20"/>
                <w:szCs w:val="20"/>
                <w:lang w:val="en-US"/>
              </w:rPr>
            </w:pPr>
            <w:r w:rsidRPr="00467EA2">
              <w:rPr>
                <w:rFonts w:eastAsia="Times New Roman" w:cs="Calibri"/>
                <w:sz w:val="20"/>
                <w:szCs w:val="20"/>
                <w:lang w:val="en-US"/>
              </w:rPr>
              <w:t>Коеф. на платежоспособност (9/8)</w:t>
            </w:r>
          </w:p>
        </w:tc>
        <w:tc>
          <w:tcPr>
            <w:tcW w:w="1134" w:type="dxa"/>
            <w:tcBorders>
              <w:top w:val="nil"/>
              <w:left w:val="nil"/>
              <w:bottom w:val="double" w:sz="6" w:space="0" w:color="E26B0A"/>
              <w:right w:val="double" w:sz="6" w:space="0" w:color="E26B0A"/>
            </w:tcBorders>
            <w:shd w:val="clear" w:color="000000" w:fill="FABF8F"/>
            <w:noWrap/>
            <w:vAlign w:val="bottom"/>
            <w:hideMark/>
          </w:tcPr>
          <w:p w14:paraId="6FBD0C80"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1,8127</w:t>
            </w:r>
          </w:p>
        </w:tc>
        <w:tc>
          <w:tcPr>
            <w:tcW w:w="992" w:type="dxa"/>
            <w:tcBorders>
              <w:top w:val="nil"/>
              <w:left w:val="nil"/>
              <w:bottom w:val="double" w:sz="6" w:space="0" w:color="E26B0A"/>
              <w:right w:val="double" w:sz="6" w:space="0" w:color="E26B0A"/>
            </w:tcBorders>
            <w:shd w:val="clear" w:color="000000" w:fill="FABF8F"/>
            <w:noWrap/>
            <w:vAlign w:val="bottom"/>
            <w:hideMark/>
          </w:tcPr>
          <w:p w14:paraId="429578F2"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1,5672</w:t>
            </w:r>
          </w:p>
        </w:tc>
        <w:tc>
          <w:tcPr>
            <w:tcW w:w="993" w:type="dxa"/>
            <w:tcBorders>
              <w:top w:val="nil"/>
              <w:left w:val="nil"/>
              <w:bottom w:val="double" w:sz="6" w:space="0" w:color="E26B0A"/>
              <w:right w:val="double" w:sz="6" w:space="0" w:color="E26B0A"/>
            </w:tcBorders>
            <w:shd w:val="clear" w:color="000000" w:fill="FABF8F"/>
            <w:noWrap/>
            <w:vAlign w:val="bottom"/>
            <w:hideMark/>
          </w:tcPr>
          <w:p w14:paraId="7B4DABDC"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0,2455</w:t>
            </w:r>
          </w:p>
        </w:tc>
        <w:tc>
          <w:tcPr>
            <w:tcW w:w="992" w:type="dxa"/>
            <w:tcBorders>
              <w:top w:val="nil"/>
              <w:left w:val="nil"/>
              <w:bottom w:val="double" w:sz="6" w:space="0" w:color="E26B0A"/>
              <w:right w:val="double" w:sz="6" w:space="0" w:color="E26B0A"/>
            </w:tcBorders>
            <w:shd w:val="clear" w:color="000000" w:fill="FABF8F"/>
            <w:noWrap/>
            <w:vAlign w:val="bottom"/>
            <w:hideMark/>
          </w:tcPr>
          <w:p w14:paraId="6DC70FDB" w14:textId="77777777" w:rsidR="001E4B17" w:rsidRPr="00467EA2" w:rsidRDefault="001E4B17" w:rsidP="00985FAB">
            <w:pPr>
              <w:jc w:val="right"/>
              <w:rPr>
                <w:rFonts w:eastAsia="Times New Roman" w:cs="Calibri"/>
                <w:sz w:val="20"/>
                <w:szCs w:val="20"/>
                <w:lang w:val="en-US"/>
              </w:rPr>
            </w:pPr>
            <w:r w:rsidRPr="00467EA2">
              <w:rPr>
                <w:rFonts w:eastAsia="Times New Roman" w:cs="Calibri"/>
                <w:sz w:val="20"/>
                <w:szCs w:val="20"/>
                <w:lang w:val="en-US"/>
              </w:rPr>
              <w:t>15,7%</w:t>
            </w:r>
          </w:p>
        </w:tc>
      </w:tr>
    </w:tbl>
    <w:p w14:paraId="67315484" w14:textId="65F7BF18" w:rsidR="00757417" w:rsidRDefault="00757417" w:rsidP="00A55917">
      <w:pPr>
        <w:pStyle w:val="BodyText"/>
        <w:ind w:left="180" w:right="180"/>
        <w:jc w:val="both"/>
      </w:pPr>
    </w:p>
    <w:p w14:paraId="6C6AF613" w14:textId="47303CA8" w:rsidR="00467EA2" w:rsidRDefault="00467EA2" w:rsidP="00A55917">
      <w:pPr>
        <w:pStyle w:val="BodyText"/>
        <w:ind w:left="180" w:right="180"/>
        <w:jc w:val="both"/>
      </w:pPr>
    </w:p>
    <w:p w14:paraId="2093DC50" w14:textId="37B149B5" w:rsidR="00EB0841" w:rsidRDefault="002F5526" w:rsidP="00A55917">
      <w:pPr>
        <w:pStyle w:val="BodyText"/>
        <w:ind w:left="180" w:right="180"/>
        <w:jc w:val="both"/>
      </w:pPr>
      <w:r>
        <w:rPr>
          <w:noProof/>
          <w:lang w:eastAsia="bg-BG"/>
        </w:rPr>
        <w:drawing>
          <wp:inline distT="0" distB="0" distL="0" distR="0" wp14:anchorId="24D79132" wp14:editId="6A40A6D3">
            <wp:extent cx="5964555" cy="2946400"/>
            <wp:effectExtent l="57150" t="19050" r="55245" b="101600"/>
            <wp:docPr id="27" name="Chart 27">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11D1E0D-4D6B-47FA-8CC7-F2C7DE6D423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14:paraId="2765857D" w14:textId="7CBED2FD" w:rsidR="002F5526" w:rsidRDefault="002F5526" w:rsidP="00A55917">
      <w:pPr>
        <w:pStyle w:val="BodyText"/>
        <w:ind w:left="180" w:right="180"/>
        <w:jc w:val="both"/>
      </w:pPr>
    </w:p>
    <w:p w14:paraId="3FB13829" w14:textId="0CC4474D" w:rsidR="002F5526" w:rsidRDefault="002F5526" w:rsidP="00A55917">
      <w:pPr>
        <w:pStyle w:val="BodyText"/>
        <w:ind w:left="180" w:right="180"/>
        <w:jc w:val="both"/>
      </w:pPr>
    </w:p>
    <w:p w14:paraId="1F514381" w14:textId="21164D51" w:rsidR="002F5526" w:rsidRDefault="002F5526" w:rsidP="00A55917">
      <w:pPr>
        <w:pStyle w:val="BodyText"/>
        <w:ind w:left="180" w:right="180"/>
        <w:jc w:val="both"/>
      </w:pPr>
      <w:r>
        <w:rPr>
          <w:noProof/>
          <w:lang w:eastAsia="bg-BG"/>
        </w:rPr>
        <w:lastRenderedPageBreak/>
        <w:drawing>
          <wp:inline distT="0" distB="0" distL="0" distR="0" wp14:anchorId="6FA0CFAD" wp14:editId="4CDB932A">
            <wp:extent cx="6008370" cy="2914650"/>
            <wp:effectExtent l="57150" t="19050" r="49530" b="95250"/>
            <wp:docPr id="28" name="Chart 28">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23D706AC-26BA-4A19-882D-04F00524609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14:paraId="4F1BDBC8" w14:textId="7ACB6371" w:rsidR="00EB0841" w:rsidRDefault="00EB0841" w:rsidP="00A55917">
      <w:pPr>
        <w:pStyle w:val="BodyText"/>
        <w:ind w:left="180" w:right="180"/>
        <w:jc w:val="both"/>
      </w:pPr>
    </w:p>
    <w:p w14:paraId="7C00C090" w14:textId="6C2B0249" w:rsidR="002F5526" w:rsidRDefault="00584E62" w:rsidP="00A55917">
      <w:pPr>
        <w:pStyle w:val="BodyText"/>
        <w:ind w:left="180" w:right="180"/>
        <w:jc w:val="both"/>
      </w:pPr>
      <w:r>
        <w:rPr>
          <w:noProof/>
          <w:lang w:eastAsia="bg-BG"/>
        </w:rPr>
        <w:drawing>
          <wp:inline distT="0" distB="0" distL="0" distR="0" wp14:anchorId="7E426EBA" wp14:editId="79A4D590">
            <wp:extent cx="5970270" cy="2814320"/>
            <wp:effectExtent l="57150" t="19050" r="49530" b="100330"/>
            <wp:docPr id="42" name="Chart 42">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A5846664-D600-4DD3-B787-0B8C4A04083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14:paraId="21A5201D" w14:textId="2B783C5D" w:rsidR="00584E62" w:rsidRDefault="00584E62" w:rsidP="00A55917">
      <w:pPr>
        <w:pStyle w:val="BodyText"/>
        <w:ind w:left="180" w:right="180"/>
        <w:jc w:val="both"/>
      </w:pPr>
      <w:r>
        <w:rPr>
          <w:noProof/>
          <w:lang w:eastAsia="bg-BG"/>
        </w:rPr>
        <w:drawing>
          <wp:inline distT="0" distB="0" distL="0" distR="0" wp14:anchorId="327AC7C8" wp14:editId="30DC7F68">
            <wp:extent cx="5855970" cy="2868930"/>
            <wp:effectExtent l="57150" t="19050" r="49530" b="102870"/>
            <wp:docPr id="43" name="Chart 43">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7DA22598-FCB6-4F8B-91DB-3FA53D241B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1"/>
              </a:graphicData>
            </a:graphic>
          </wp:inline>
        </w:drawing>
      </w:r>
    </w:p>
    <w:p w14:paraId="3EB0813E" w14:textId="53CD01F5" w:rsidR="00584E62" w:rsidRDefault="00584E62" w:rsidP="00A55917">
      <w:pPr>
        <w:pStyle w:val="BodyText"/>
        <w:ind w:left="180" w:right="180"/>
        <w:jc w:val="both"/>
      </w:pPr>
    </w:p>
    <w:p w14:paraId="7AD0E393" w14:textId="2749D74E" w:rsidR="00584E62" w:rsidRDefault="00584E62" w:rsidP="00A55917">
      <w:pPr>
        <w:pStyle w:val="BodyText"/>
        <w:ind w:left="180" w:right="180"/>
        <w:jc w:val="both"/>
      </w:pPr>
      <w:r>
        <w:rPr>
          <w:noProof/>
          <w:lang w:eastAsia="bg-BG"/>
        </w:rPr>
        <w:drawing>
          <wp:inline distT="0" distB="0" distL="0" distR="0" wp14:anchorId="4C3B2463" wp14:editId="27F67255">
            <wp:extent cx="5895974" cy="2932430"/>
            <wp:effectExtent l="57150" t="19050" r="48260" b="96520"/>
            <wp:docPr id="44" name="Chart 44">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CFE108D0-1DC9-4088-ACEB-0646B55E080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2"/>
              </a:graphicData>
            </a:graphic>
          </wp:inline>
        </w:drawing>
      </w:r>
    </w:p>
    <w:p w14:paraId="56D5979D" w14:textId="3E9CFDA6" w:rsidR="00584E62" w:rsidRDefault="00584E62" w:rsidP="00A55917">
      <w:pPr>
        <w:pStyle w:val="BodyText"/>
        <w:ind w:left="180" w:right="180"/>
        <w:jc w:val="both"/>
      </w:pPr>
    </w:p>
    <w:p w14:paraId="27BB9D9A" w14:textId="6399DDAE" w:rsidR="00584E62" w:rsidRDefault="00584E62" w:rsidP="00A55917">
      <w:pPr>
        <w:pStyle w:val="BodyText"/>
        <w:ind w:left="180" w:right="180"/>
        <w:jc w:val="both"/>
      </w:pPr>
    </w:p>
    <w:p w14:paraId="20DA5A05" w14:textId="0F0C365A" w:rsidR="00584E62" w:rsidRDefault="00584E62" w:rsidP="00A55917">
      <w:pPr>
        <w:pStyle w:val="BodyText"/>
        <w:ind w:left="180" w:right="180"/>
        <w:jc w:val="both"/>
      </w:pPr>
      <w:r>
        <w:rPr>
          <w:noProof/>
          <w:lang w:eastAsia="bg-BG"/>
        </w:rPr>
        <w:drawing>
          <wp:inline distT="0" distB="0" distL="0" distR="0" wp14:anchorId="628DDFC7" wp14:editId="49A5AC60">
            <wp:extent cx="5855970" cy="3088640"/>
            <wp:effectExtent l="57150" t="19050" r="49530" b="92710"/>
            <wp:docPr id="45" name="Chart 45">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http://schemas.openxmlformats.org/wordprocessingml/2006/main" xmlns:w10="urn:schemas-microsoft-com:office:word" xmlns:v="urn:schemas-microsoft-com:vml"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AD8B55D-98B2-4EFB-BD93-71135CA2619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33"/>
              </a:graphicData>
            </a:graphic>
          </wp:inline>
        </w:drawing>
      </w:r>
    </w:p>
    <w:p w14:paraId="13CA219A" w14:textId="4C77D342" w:rsidR="00584E62" w:rsidRDefault="00584E62" w:rsidP="00A55917">
      <w:pPr>
        <w:pStyle w:val="BodyText"/>
        <w:ind w:left="180" w:right="180"/>
        <w:jc w:val="both"/>
      </w:pPr>
    </w:p>
    <w:p w14:paraId="2BF05B4D" w14:textId="77777777" w:rsidR="00584E62" w:rsidRDefault="00584E62" w:rsidP="00A55917">
      <w:pPr>
        <w:pStyle w:val="BodyText"/>
        <w:ind w:left="180" w:right="180"/>
        <w:jc w:val="both"/>
      </w:pPr>
    </w:p>
    <w:p w14:paraId="4A317C12" w14:textId="6771A1D1" w:rsidR="00F267DF" w:rsidRDefault="00F267DF" w:rsidP="00F267DF">
      <w:pPr>
        <w:pStyle w:val="BodyText"/>
        <w:ind w:left="180" w:right="180"/>
        <w:jc w:val="both"/>
        <w:rPr>
          <w:lang w:val="en-US"/>
        </w:rPr>
      </w:pPr>
    </w:p>
    <w:p w14:paraId="0D59C29E" w14:textId="2C184ED7" w:rsidR="00F267DF" w:rsidRDefault="00F267DF" w:rsidP="00F267DF">
      <w:pPr>
        <w:pStyle w:val="BodyText"/>
        <w:ind w:left="180" w:right="180"/>
        <w:jc w:val="both"/>
        <w:rPr>
          <w:lang w:val="en-US"/>
        </w:rPr>
      </w:pPr>
    </w:p>
    <w:p w14:paraId="4FA8CB8F" w14:textId="199604B1" w:rsidR="000B7716" w:rsidRDefault="000B7716" w:rsidP="00F267DF">
      <w:pPr>
        <w:pStyle w:val="BodyText"/>
        <w:ind w:left="180" w:right="180"/>
        <w:jc w:val="both"/>
        <w:rPr>
          <w:lang w:val="en-US"/>
        </w:rPr>
      </w:pPr>
    </w:p>
    <w:p w14:paraId="2B3EC8AD" w14:textId="22A56E8A" w:rsidR="000B7716" w:rsidRDefault="000B7716" w:rsidP="00F267DF">
      <w:pPr>
        <w:pStyle w:val="BodyText"/>
        <w:ind w:left="180" w:right="180"/>
        <w:jc w:val="both"/>
        <w:rPr>
          <w:lang w:val="en-US"/>
        </w:rPr>
      </w:pPr>
    </w:p>
    <w:p w14:paraId="3F8E67DE" w14:textId="3B9567F3" w:rsidR="000B7716" w:rsidRDefault="000B7716" w:rsidP="00F267DF">
      <w:pPr>
        <w:pStyle w:val="BodyText"/>
        <w:ind w:left="180" w:right="180"/>
        <w:jc w:val="both"/>
        <w:rPr>
          <w:lang w:val="en-US"/>
        </w:rPr>
      </w:pPr>
    </w:p>
    <w:p w14:paraId="73B9FC12" w14:textId="1AD23059" w:rsidR="000B7716" w:rsidRDefault="000B7716" w:rsidP="00F267DF">
      <w:pPr>
        <w:pStyle w:val="BodyText"/>
        <w:ind w:left="180" w:right="180"/>
        <w:jc w:val="both"/>
        <w:rPr>
          <w:lang w:val="en-US"/>
        </w:rPr>
      </w:pPr>
    </w:p>
    <w:sectPr w:rsidR="000B7716" w:rsidSect="002228B1">
      <w:headerReference w:type="default" r:id="rId34"/>
      <w:footerReference w:type="default" r:id="rId35"/>
      <w:pgSz w:w="11906" w:h="16838"/>
      <w:pgMar w:top="0" w:right="991" w:bottom="1134" w:left="1417" w:header="709" w:footer="709" w:gutter="0"/>
      <w:pgBorders w:display="notFirstPage" w:offsetFrom="page">
        <w:top w:val="double" w:sz="4" w:space="24" w:color="E36C0A"/>
        <w:left w:val="double" w:sz="4" w:space="24" w:color="E36C0A"/>
        <w:bottom w:val="double" w:sz="4" w:space="24" w:color="E36C0A"/>
        <w:right w:val="double" w:sz="4" w:space="24" w:color="E36C0A"/>
      </w:pgBorders>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0A6D1F4" w14:textId="77777777" w:rsidR="00605DD1" w:rsidRDefault="00605DD1" w:rsidP="00104C31">
      <w:r>
        <w:separator/>
      </w:r>
    </w:p>
  </w:endnote>
  <w:endnote w:type="continuationSeparator" w:id="0">
    <w:p w14:paraId="1B35A572" w14:textId="77777777" w:rsidR="00605DD1" w:rsidRDefault="00605DD1" w:rsidP="00104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C7A929" w14:textId="069DBAD1" w:rsidR="00F440E7" w:rsidRPr="002228B1" w:rsidRDefault="00316233" w:rsidP="00104C31">
    <w:pPr>
      <w:pStyle w:val="Footer"/>
      <w:tabs>
        <w:tab w:val="clear" w:pos="9072"/>
        <w:tab w:val="right" w:pos="9356"/>
      </w:tabs>
      <w:jc w:val="right"/>
      <w:rPr>
        <w:color w:val="E36C0A"/>
        <w:sz w:val="20"/>
        <w:szCs w:val="20"/>
      </w:rPr>
    </w:pPr>
    <w:r w:rsidRPr="002228B1">
      <w:rPr>
        <w:noProof/>
        <w:color w:val="E36C0A"/>
        <w:lang w:eastAsia="bg-BG"/>
      </w:rPr>
      <mc:AlternateContent>
        <mc:Choice Requires="wpg">
          <w:drawing>
            <wp:anchor distT="0" distB="0" distL="114300" distR="114300" simplePos="0" relativeHeight="251658240" behindDoc="0" locked="0" layoutInCell="1" allowOverlap="1" wp14:anchorId="73FCBB94" wp14:editId="21098E1D">
              <wp:simplePos x="0" y="0"/>
              <wp:positionH relativeFrom="column">
                <wp:posOffset>5904865</wp:posOffset>
              </wp:positionH>
              <wp:positionV relativeFrom="paragraph">
                <wp:posOffset>53340</wp:posOffset>
              </wp:positionV>
              <wp:extent cx="327660" cy="347980"/>
              <wp:effectExtent l="13335" t="15240" r="11430" b="8255"/>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rot="10800000" flipH="1" flipV="1">
                        <a:off x="0" y="0"/>
                        <a:ext cx="327660" cy="347980"/>
                        <a:chOff x="8754" y="11945"/>
                        <a:chExt cx="2880" cy="2859"/>
                      </a:xfrm>
                    </wpg:grpSpPr>
                    <wps:wsp>
                      <wps:cNvPr id="2" name="Rectangle 16"/>
                      <wps:cNvSpPr>
                        <a:spLocks noChangeArrowheads="1"/>
                      </wps:cNvSpPr>
                      <wps:spPr bwMode="auto">
                        <a:xfrm flipH="1">
                          <a:off x="10194" y="11945"/>
                          <a:ext cx="1440" cy="1440"/>
                        </a:xfrm>
                        <a:prstGeom prst="rect">
                          <a:avLst/>
                        </a:prstGeom>
                        <a:solidFill>
                          <a:srgbClr val="FABF8F">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3" name="Rectangle 17"/>
                      <wps:cNvSpPr>
                        <a:spLocks noChangeArrowheads="1"/>
                      </wps:cNvSpPr>
                      <wps:spPr bwMode="auto">
                        <a:xfrm flipH="1">
                          <a:off x="10194" y="13364"/>
                          <a:ext cx="1440" cy="1440"/>
                        </a:xfrm>
                        <a:prstGeom prst="rect">
                          <a:avLst/>
                        </a:prstGeom>
                        <a:solidFill>
                          <a:srgbClr val="FABF8F"/>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 name="Rectangle 18"/>
                      <wps:cNvSpPr>
                        <a:spLocks noChangeArrowheads="1"/>
                      </wps:cNvSpPr>
                      <wps:spPr bwMode="auto">
                        <a:xfrm flipH="1">
                          <a:off x="8754" y="13364"/>
                          <a:ext cx="1440" cy="1440"/>
                        </a:xfrm>
                        <a:prstGeom prst="rect">
                          <a:avLst/>
                        </a:prstGeom>
                        <a:solidFill>
                          <a:srgbClr val="FABF8F">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6C10FDEC" id="Group 15" o:spid="_x0000_s1026" style="position:absolute;margin-left:464.95pt;margin-top:4.2pt;width:25.8pt;height:27.4pt;rotation:180;flip:x y;z-index:251658240"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">
              <v:rect id="Rectangle 16" o:spid="_x0000_s102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" fillcolor="#fabf8f" strokecolor="white" strokeweight="1pt">
                <v:fill opacity="32896f"/>
                <v:shadow color="#d8d8d8" offset="3pt,3pt"/>
              </v:rect>
              <v:rect id="Rectangle 17" o:spid="_x0000_s102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" fillcolor="#fabf8f" strokecolor="white" strokeweight="1pt">
                <v:shadow color="#d8d8d8" offset="3pt,3pt"/>
              </v:rect>
              <v:rect id="Rectangle 18" o:spid="_x0000_s102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" fillcolor="#fabf8f" strokecolor="white" strokeweight="1pt">
                <v:fill opacity="32896f"/>
                <v:shadow color="#d8d8d8" offset="3pt,3pt"/>
              </v:rect>
            </v:group>
          </w:pict>
        </mc:Fallback>
      </mc:AlternateContent>
    </w:r>
    <w:r w:rsidR="00F440E7" w:rsidRPr="002228B1">
      <w:rPr>
        <w:color w:val="E36C0A"/>
        <w:sz w:val="20"/>
        <w:szCs w:val="20"/>
      </w:rPr>
      <w:fldChar w:fldCharType="begin"/>
    </w:r>
    <w:r w:rsidR="00F440E7" w:rsidRPr="002228B1">
      <w:rPr>
        <w:color w:val="E36C0A"/>
        <w:sz w:val="20"/>
        <w:szCs w:val="20"/>
      </w:rPr>
      <w:instrText xml:space="preserve"> PAGE   \* MERGEFORMAT </w:instrText>
    </w:r>
    <w:r w:rsidR="00F440E7" w:rsidRPr="002228B1">
      <w:rPr>
        <w:color w:val="E36C0A"/>
        <w:sz w:val="20"/>
        <w:szCs w:val="20"/>
      </w:rPr>
      <w:fldChar w:fldCharType="separate"/>
    </w:r>
    <w:r w:rsidR="00221A0F">
      <w:rPr>
        <w:noProof/>
        <w:color w:val="E36C0A"/>
        <w:sz w:val="20"/>
        <w:szCs w:val="20"/>
      </w:rPr>
      <w:t>40</w:t>
    </w:r>
    <w:r w:rsidR="00F440E7" w:rsidRPr="002228B1">
      <w:rPr>
        <w:noProof/>
        <w:color w:val="E36C0A"/>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FCBE1E8" w14:textId="77777777" w:rsidR="00605DD1" w:rsidRDefault="00605DD1" w:rsidP="00104C31">
      <w:r>
        <w:separator/>
      </w:r>
    </w:p>
  </w:footnote>
  <w:footnote w:type="continuationSeparator" w:id="0">
    <w:p w14:paraId="2B0AA304" w14:textId="77777777" w:rsidR="00605DD1" w:rsidRDefault="00605DD1" w:rsidP="00104C31">
      <w:r>
        <w:continuationSeparator/>
      </w:r>
    </w:p>
  </w:footnote>
  <w:footnote w:id="1">
    <w:p w14:paraId="68E6F633" w14:textId="77777777" w:rsidR="00FA65F8" w:rsidRPr="00687C43" w:rsidRDefault="00FA65F8" w:rsidP="00FA65F8">
      <w:pPr>
        <w:pStyle w:val="FootnoteText"/>
      </w:pPr>
      <w:r>
        <w:rPr>
          <w:rStyle w:val="FootnoteReference"/>
        </w:rPr>
        <w:footnoteRef/>
      </w:r>
      <w:r>
        <w:t xml:space="preserve"> </w:t>
      </w:r>
      <w:r w:rsidRPr="00687C43">
        <w:t>www.strategy.bg</w:t>
      </w:r>
    </w:p>
  </w:footnote>
  <w:footnote w:id="2">
    <w:p w14:paraId="7F7FE880" w14:textId="77777777" w:rsidR="00FA65F8" w:rsidRPr="00687C43" w:rsidRDefault="00FA65F8" w:rsidP="00FA65F8">
      <w:pPr>
        <w:pStyle w:val="FootnoteText"/>
      </w:pPr>
      <w:r>
        <w:rPr>
          <w:rStyle w:val="FootnoteReference"/>
        </w:rPr>
        <w:footnoteRef/>
      </w:r>
      <w:r>
        <w:t xml:space="preserve"> </w:t>
      </w:r>
      <w:r w:rsidRPr="00687C43">
        <w:rPr>
          <w:rFonts w:cs="Arial"/>
        </w:rPr>
        <w:t>Goldman Sachs</w:t>
      </w:r>
      <w:r w:rsidRPr="00687C43">
        <w:t xml:space="preserve"> е една от най-старите инвестиционни банки в света. Основана е през 1869 г., а седалището ѝ се намира в Южен Манхатън в Ню Йорк, САЩ</w:t>
      </w:r>
    </w:p>
  </w:footnote>
  <w:footnote w:id="3">
    <w:p w14:paraId="69077EDE" w14:textId="77777777" w:rsidR="00FA65F8" w:rsidRPr="006B3280" w:rsidRDefault="00FA65F8" w:rsidP="00FA65F8">
      <w:pPr>
        <w:pStyle w:val="FootnoteText"/>
      </w:pPr>
      <w:r w:rsidRPr="006B3280">
        <w:rPr>
          <w:rStyle w:val="FootnoteReference"/>
        </w:rPr>
        <w:footnoteRef/>
      </w:r>
      <w:r w:rsidRPr="006B3280">
        <w:t xml:space="preserve"> </w:t>
      </w:r>
      <w:r w:rsidRPr="006B3280">
        <w:t>https://www.capital.bg/politika_i_ikonomika</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E2E40AD" w14:textId="77777777" w:rsidR="00F440E7" w:rsidRDefault="00F440E7">
    <w:pPr>
      <w:pStyle w:val="Header"/>
    </w:pPr>
  </w:p>
  <w:p w14:paraId="4F742BA0" w14:textId="3D8A87AF" w:rsidR="00F440E7" w:rsidRDefault="00316233">
    <w:pPr>
      <w:pStyle w:val="Header"/>
    </w:pPr>
    <w:r>
      <w:rPr>
        <w:noProof/>
        <w:lang w:eastAsia="bg-BG"/>
      </w:rPr>
      <mc:AlternateContent>
        <mc:Choice Requires="wpg">
          <w:drawing>
            <wp:anchor distT="0" distB="0" distL="114300" distR="114300" simplePos="0" relativeHeight="251657216" behindDoc="0" locked="0" layoutInCell="1" allowOverlap="1" wp14:anchorId="493E3ED1" wp14:editId="0F0B3F5D">
              <wp:simplePos x="0" y="0"/>
              <wp:positionH relativeFrom="column">
                <wp:posOffset>-492125</wp:posOffset>
              </wp:positionH>
              <wp:positionV relativeFrom="paragraph">
                <wp:posOffset>-224790</wp:posOffset>
              </wp:positionV>
              <wp:extent cx="327660" cy="347980"/>
              <wp:effectExtent l="7620" t="15240" r="7620" b="8255"/>
              <wp:wrapNone/>
              <wp:docPr id="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327660" cy="347980"/>
                        <a:chOff x="8754" y="11945"/>
                        <a:chExt cx="2880" cy="2859"/>
                      </a:xfrm>
                    </wpg:grpSpPr>
                    <wps:wsp>
                      <wps:cNvPr id="6" name="Rectangle 16"/>
                      <wps:cNvSpPr>
                        <a:spLocks noChangeArrowheads="1"/>
                      </wps:cNvSpPr>
                      <wps:spPr bwMode="auto">
                        <a:xfrm flipH="1">
                          <a:off x="10194" y="11945"/>
                          <a:ext cx="1440" cy="1440"/>
                        </a:xfrm>
                        <a:prstGeom prst="rect">
                          <a:avLst/>
                        </a:prstGeom>
                        <a:solidFill>
                          <a:srgbClr val="FABF8F">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7" name="Rectangle 17"/>
                      <wps:cNvSpPr>
                        <a:spLocks noChangeArrowheads="1"/>
                      </wps:cNvSpPr>
                      <wps:spPr bwMode="auto">
                        <a:xfrm flipH="1">
                          <a:off x="10194" y="13364"/>
                          <a:ext cx="1440" cy="1440"/>
                        </a:xfrm>
                        <a:prstGeom prst="rect">
                          <a:avLst/>
                        </a:prstGeom>
                        <a:solidFill>
                          <a:srgbClr val="FABF8F"/>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8" name="Rectangle 18"/>
                      <wps:cNvSpPr>
                        <a:spLocks noChangeArrowheads="1"/>
                      </wps:cNvSpPr>
                      <wps:spPr bwMode="auto">
                        <a:xfrm flipH="1">
                          <a:off x="8754" y="13364"/>
                          <a:ext cx="1440" cy="1440"/>
                        </a:xfrm>
                        <a:prstGeom prst="rect">
                          <a:avLst/>
                        </a:prstGeom>
                        <a:solidFill>
                          <a:srgbClr val="FABF8F">
                            <a:alpha val="50195"/>
                          </a:srgbClr>
                        </a:solidFill>
                        <a:ln w="12700">
                          <a:solidFill>
                            <a:srgbClr val="FFFFFF"/>
                          </a:solidFill>
                          <a:miter lim="800000"/>
                          <a:headEnd/>
                          <a:tailEnd/>
                        </a:ln>
                        <a:effectLst/>
                        <a:extLst>
                          <a:ext uri="{AF507438-7753-43E0-B8FC-AC1667EBCBE1}">
                            <a14:hiddenEffects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1F95221F" id="Group 15" o:spid="_x0000_s1026" style="position:absolute;margin-left:-38.75pt;margin-top:-17.7pt;width:25.8pt;height:27.4pt;flip:x y;z-index:251657216"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">
              <v:rect id="Rectangle 16" o:spid="_x0000_s102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" fillcolor="#fabf8f" strokecolor="white" strokeweight="1pt">
                <v:fill opacity="32896f"/>
                <v:shadow color="#d8d8d8" offset="3pt,3pt"/>
              </v:rect>
              <v:rect id="Rectangle 17" o:spid="_x0000_s102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" fillcolor="#fabf8f" strokecolor="white" strokeweight="1pt">
                <v:shadow color="#d8d8d8" offset="3pt,3pt"/>
              </v:rect>
              <v:rect id="Rectangle 18" o:spid="_x0000_s102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" fillcolor="#fabf8f" strokecolor="white" strokeweight="1pt">
                <v:fill opacity="32896f"/>
                <v:shadow color="#d8d8d8" offset="3pt,3pt"/>
              </v:rect>
            </v:group>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A5123A"/>
    <w:multiLevelType w:val="hybridMultilevel"/>
    <w:tmpl w:val="FA0EA688"/>
    <w:lvl w:ilvl="0" w:tplc="8BE2ED90">
      <w:numFmt w:val="bullet"/>
      <w:lvlText w:val="•"/>
      <w:lvlJc w:val="left"/>
      <w:pPr>
        <w:ind w:left="720" w:hanging="360"/>
      </w:pPr>
      <w:rPr>
        <w:rFonts w:ascii="Calibri" w:hAnsi="Calibri" w:hint="default"/>
        <w:color w:val="76923C"/>
        <w:sz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nsid w:val="037377F8"/>
    <w:multiLevelType w:val="hybridMultilevel"/>
    <w:tmpl w:val="58122042"/>
    <w:lvl w:ilvl="0" w:tplc="CB3096E6">
      <w:start w:val="1"/>
      <w:numFmt w:val="bullet"/>
      <w:lvlText w:val="•"/>
      <w:lvlJc w:val="left"/>
      <w:pPr>
        <w:ind w:left="1004" w:hanging="360"/>
      </w:pPr>
      <w:rPr>
        <w:rFonts w:ascii="Times New Roman" w:hAnsi="Times New Roman" w:cs="Times New Roman" w:hint="default"/>
        <w:color w:val="76923C"/>
        <w:sz w:val="22"/>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2">
    <w:nsid w:val="0634273E"/>
    <w:multiLevelType w:val="hybridMultilevel"/>
    <w:tmpl w:val="78B6442E"/>
    <w:lvl w:ilvl="0" w:tplc="3B664510">
      <w:start w:val="1"/>
      <w:numFmt w:val="bullet"/>
      <w:lvlText w:val=""/>
      <w:lvlJc w:val="left"/>
      <w:pPr>
        <w:ind w:left="720" w:hanging="360"/>
      </w:pPr>
      <w:rPr>
        <w:rFonts w:ascii="Wingdings" w:hAnsi="Wingdings" w:hint="default"/>
        <w:color w:val="548DD4"/>
        <w:sz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
    <w:nsid w:val="06547F3B"/>
    <w:multiLevelType w:val="hybridMultilevel"/>
    <w:tmpl w:val="64B84A6E"/>
    <w:lvl w:ilvl="0" w:tplc="8272F286">
      <w:start w:val="1"/>
      <w:numFmt w:val="bullet"/>
      <w:lvlText w:val=""/>
      <w:lvlJc w:val="left"/>
      <w:pPr>
        <w:ind w:left="833" w:hanging="360"/>
      </w:pPr>
      <w:rPr>
        <w:rFonts w:ascii="Wingdings" w:hAnsi="Wingdings" w:hint="default"/>
        <w:b/>
        <w:i w:val="0"/>
        <w:color w:val="E36C0A"/>
        <w:sz w:val="22"/>
      </w:rPr>
    </w:lvl>
    <w:lvl w:ilvl="1" w:tplc="04020003" w:tentative="1">
      <w:start w:val="1"/>
      <w:numFmt w:val="bullet"/>
      <w:lvlText w:val="o"/>
      <w:lvlJc w:val="left"/>
      <w:pPr>
        <w:ind w:left="1553" w:hanging="360"/>
      </w:pPr>
      <w:rPr>
        <w:rFonts w:ascii="Courier New" w:hAnsi="Courier New" w:cs="Courier New" w:hint="default"/>
      </w:rPr>
    </w:lvl>
    <w:lvl w:ilvl="2" w:tplc="04020005" w:tentative="1">
      <w:start w:val="1"/>
      <w:numFmt w:val="bullet"/>
      <w:lvlText w:val=""/>
      <w:lvlJc w:val="left"/>
      <w:pPr>
        <w:ind w:left="2273" w:hanging="360"/>
      </w:pPr>
      <w:rPr>
        <w:rFonts w:ascii="Wingdings" w:hAnsi="Wingdings" w:hint="default"/>
      </w:rPr>
    </w:lvl>
    <w:lvl w:ilvl="3" w:tplc="04020001" w:tentative="1">
      <w:start w:val="1"/>
      <w:numFmt w:val="bullet"/>
      <w:lvlText w:val=""/>
      <w:lvlJc w:val="left"/>
      <w:pPr>
        <w:ind w:left="2993" w:hanging="360"/>
      </w:pPr>
      <w:rPr>
        <w:rFonts w:ascii="Symbol" w:hAnsi="Symbol" w:hint="default"/>
      </w:rPr>
    </w:lvl>
    <w:lvl w:ilvl="4" w:tplc="04020003" w:tentative="1">
      <w:start w:val="1"/>
      <w:numFmt w:val="bullet"/>
      <w:lvlText w:val="o"/>
      <w:lvlJc w:val="left"/>
      <w:pPr>
        <w:ind w:left="3713" w:hanging="360"/>
      </w:pPr>
      <w:rPr>
        <w:rFonts w:ascii="Courier New" w:hAnsi="Courier New" w:cs="Courier New" w:hint="default"/>
      </w:rPr>
    </w:lvl>
    <w:lvl w:ilvl="5" w:tplc="04020005" w:tentative="1">
      <w:start w:val="1"/>
      <w:numFmt w:val="bullet"/>
      <w:lvlText w:val=""/>
      <w:lvlJc w:val="left"/>
      <w:pPr>
        <w:ind w:left="4433" w:hanging="360"/>
      </w:pPr>
      <w:rPr>
        <w:rFonts w:ascii="Wingdings" w:hAnsi="Wingdings" w:hint="default"/>
      </w:rPr>
    </w:lvl>
    <w:lvl w:ilvl="6" w:tplc="04020001" w:tentative="1">
      <w:start w:val="1"/>
      <w:numFmt w:val="bullet"/>
      <w:lvlText w:val=""/>
      <w:lvlJc w:val="left"/>
      <w:pPr>
        <w:ind w:left="5153" w:hanging="360"/>
      </w:pPr>
      <w:rPr>
        <w:rFonts w:ascii="Symbol" w:hAnsi="Symbol" w:hint="default"/>
      </w:rPr>
    </w:lvl>
    <w:lvl w:ilvl="7" w:tplc="04020003" w:tentative="1">
      <w:start w:val="1"/>
      <w:numFmt w:val="bullet"/>
      <w:lvlText w:val="o"/>
      <w:lvlJc w:val="left"/>
      <w:pPr>
        <w:ind w:left="5873" w:hanging="360"/>
      </w:pPr>
      <w:rPr>
        <w:rFonts w:ascii="Courier New" w:hAnsi="Courier New" w:cs="Courier New" w:hint="default"/>
      </w:rPr>
    </w:lvl>
    <w:lvl w:ilvl="8" w:tplc="04020005" w:tentative="1">
      <w:start w:val="1"/>
      <w:numFmt w:val="bullet"/>
      <w:lvlText w:val=""/>
      <w:lvlJc w:val="left"/>
      <w:pPr>
        <w:ind w:left="6593" w:hanging="360"/>
      </w:pPr>
      <w:rPr>
        <w:rFonts w:ascii="Wingdings" w:hAnsi="Wingdings" w:hint="default"/>
      </w:rPr>
    </w:lvl>
  </w:abstractNum>
  <w:abstractNum w:abstractNumId="4">
    <w:nsid w:val="1462332B"/>
    <w:multiLevelType w:val="hybridMultilevel"/>
    <w:tmpl w:val="C818B67E"/>
    <w:lvl w:ilvl="0" w:tplc="730AACAE">
      <w:numFmt w:val="bullet"/>
      <w:lvlText w:val=""/>
      <w:lvlJc w:val="left"/>
      <w:pPr>
        <w:tabs>
          <w:tab w:val="num" w:pos="720"/>
        </w:tabs>
        <w:ind w:left="720" w:hanging="360"/>
      </w:pPr>
      <w:rPr>
        <w:rFonts w:ascii="Symbol" w:hAnsi="Symbol" w:cs="Arial" w:hint="default"/>
        <w:color w:val="632423"/>
        <w:sz w:val="16"/>
      </w:rPr>
    </w:lvl>
    <w:lvl w:ilvl="1" w:tplc="32F06DC4" w:tentative="1">
      <w:start w:val="1"/>
      <w:numFmt w:val="bullet"/>
      <w:lvlText w:val="o"/>
      <w:lvlJc w:val="left"/>
      <w:pPr>
        <w:tabs>
          <w:tab w:val="num" w:pos="1440"/>
        </w:tabs>
        <w:ind w:left="1440" w:hanging="360"/>
      </w:pPr>
      <w:rPr>
        <w:rFonts w:ascii="Courier New" w:hAnsi="Courier New" w:hint="default"/>
      </w:rPr>
    </w:lvl>
    <w:lvl w:ilvl="2" w:tplc="841228F8" w:tentative="1">
      <w:start w:val="1"/>
      <w:numFmt w:val="bullet"/>
      <w:lvlText w:val=""/>
      <w:lvlJc w:val="left"/>
      <w:pPr>
        <w:tabs>
          <w:tab w:val="num" w:pos="2160"/>
        </w:tabs>
        <w:ind w:left="2160" w:hanging="360"/>
      </w:pPr>
      <w:rPr>
        <w:rFonts w:ascii="Wingdings" w:hAnsi="Wingdings" w:hint="default"/>
      </w:rPr>
    </w:lvl>
    <w:lvl w:ilvl="3" w:tplc="11F2C97C" w:tentative="1">
      <w:start w:val="1"/>
      <w:numFmt w:val="bullet"/>
      <w:lvlText w:val=""/>
      <w:lvlJc w:val="left"/>
      <w:pPr>
        <w:tabs>
          <w:tab w:val="num" w:pos="2880"/>
        </w:tabs>
        <w:ind w:left="2880" w:hanging="360"/>
      </w:pPr>
      <w:rPr>
        <w:rFonts w:ascii="Symbol" w:hAnsi="Symbol" w:hint="default"/>
      </w:rPr>
    </w:lvl>
    <w:lvl w:ilvl="4" w:tplc="42B8E504" w:tentative="1">
      <w:start w:val="1"/>
      <w:numFmt w:val="bullet"/>
      <w:lvlText w:val="o"/>
      <w:lvlJc w:val="left"/>
      <w:pPr>
        <w:tabs>
          <w:tab w:val="num" w:pos="3600"/>
        </w:tabs>
        <w:ind w:left="3600" w:hanging="360"/>
      </w:pPr>
      <w:rPr>
        <w:rFonts w:ascii="Courier New" w:hAnsi="Courier New" w:hint="default"/>
      </w:rPr>
    </w:lvl>
    <w:lvl w:ilvl="5" w:tplc="6074A956" w:tentative="1">
      <w:start w:val="1"/>
      <w:numFmt w:val="bullet"/>
      <w:lvlText w:val=""/>
      <w:lvlJc w:val="left"/>
      <w:pPr>
        <w:tabs>
          <w:tab w:val="num" w:pos="4320"/>
        </w:tabs>
        <w:ind w:left="4320" w:hanging="360"/>
      </w:pPr>
      <w:rPr>
        <w:rFonts w:ascii="Wingdings" w:hAnsi="Wingdings" w:hint="default"/>
      </w:rPr>
    </w:lvl>
    <w:lvl w:ilvl="6" w:tplc="BB041270" w:tentative="1">
      <w:start w:val="1"/>
      <w:numFmt w:val="bullet"/>
      <w:lvlText w:val=""/>
      <w:lvlJc w:val="left"/>
      <w:pPr>
        <w:tabs>
          <w:tab w:val="num" w:pos="5040"/>
        </w:tabs>
        <w:ind w:left="5040" w:hanging="360"/>
      </w:pPr>
      <w:rPr>
        <w:rFonts w:ascii="Symbol" w:hAnsi="Symbol" w:hint="default"/>
      </w:rPr>
    </w:lvl>
    <w:lvl w:ilvl="7" w:tplc="9D984A10" w:tentative="1">
      <w:start w:val="1"/>
      <w:numFmt w:val="bullet"/>
      <w:lvlText w:val="o"/>
      <w:lvlJc w:val="left"/>
      <w:pPr>
        <w:tabs>
          <w:tab w:val="num" w:pos="5760"/>
        </w:tabs>
        <w:ind w:left="5760" w:hanging="360"/>
      </w:pPr>
      <w:rPr>
        <w:rFonts w:ascii="Courier New" w:hAnsi="Courier New" w:hint="default"/>
      </w:rPr>
    </w:lvl>
    <w:lvl w:ilvl="8" w:tplc="D53E31A2" w:tentative="1">
      <w:start w:val="1"/>
      <w:numFmt w:val="bullet"/>
      <w:lvlText w:val=""/>
      <w:lvlJc w:val="left"/>
      <w:pPr>
        <w:tabs>
          <w:tab w:val="num" w:pos="6480"/>
        </w:tabs>
        <w:ind w:left="6480" w:hanging="360"/>
      </w:pPr>
      <w:rPr>
        <w:rFonts w:ascii="Wingdings" w:hAnsi="Wingdings" w:hint="default"/>
      </w:rPr>
    </w:lvl>
  </w:abstractNum>
  <w:abstractNum w:abstractNumId="5">
    <w:nsid w:val="16990D96"/>
    <w:multiLevelType w:val="hybridMultilevel"/>
    <w:tmpl w:val="1DB4D9F6"/>
    <w:lvl w:ilvl="0" w:tplc="8272F286">
      <w:start w:val="1"/>
      <w:numFmt w:val="bullet"/>
      <w:lvlText w:val=""/>
      <w:lvlJc w:val="left"/>
      <w:pPr>
        <w:ind w:left="720" w:hanging="360"/>
      </w:pPr>
      <w:rPr>
        <w:rFonts w:ascii="Wingdings" w:hAnsi="Wingdings" w:hint="default"/>
        <w:b/>
        <w:i w:val="0"/>
        <w:color w:val="E36C0A"/>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6">
    <w:nsid w:val="185E0B79"/>
    <w:multiLevelType w:val="hybridMultilevel"/>
    <w:tmpl w:val="C0AE7A1A"/>
    <w:lvl w:ilvl="0" w:tplc="E9121914">
      <w:start w:val="1"/>
      <w:numFmt w:val="bullet"/>
      <w:lvlText w:val=""/>
      <w:lvlJc w:val="left"/>
      <w:pPr>
        <w:ind w:left="437" w:hanging="360"/>
      </w:pPr>
      <w:rPr>
        <w:rFonts w:ascii="Symbol" w:hAnsi="Symbol" w:hint="default"/>
        <w:color w:val="E36C0A"/>
        <w:sz w:val="18"/>
        <w:szCs w:val="36"/>
      </w:rPr>
    </w:lvl>
    <w:lvl w:ilvl="1" w:tplc="04020003" w:tentative="1">
      <w:start w:val="1"/>
      <w:numFmt w:val="bullet"/>
      <w:lvlText w:val="o"/>
      <w:lvlJc w:val="left"/>
      <w:pPr>
        <w:ind w:left="1157" w:hanging="360"/>
      </w:pPr>
      <w:rPr>
        <w:rFonts w:ascii="Courier New" w:hAnsi="Courier New" w:cs="Courier New" w:hint="default"/>
      </w:rPr>
    </w:lvl>
    <w:lvl w:ilvl="2" w:tplc="04020005" w:tentative="1">
      <w:start w:val="1"/>
      <w:numFmt w:val="bullet"/>
      <w:lvlText w:val=""/>
      <w:lvlJc w:val="left"/>
      <w:pPr>
        <w:ind w:left="1877" w:hanging="360"/>
      </w:pPr>
      <w:rPr>
        <w:rFonts w:ascii="Wingdings" w:hAnsi="Wingdings" w:hint="default"/>
      </w:rPr>
    </w:lvl>
    <w:lvl w:ilvl="3" w:tplc="04020001" w:tentative="1">
      <w:start w:val="1"/>
      <w:numFmt w:val="bullet"/>
      <w:lvlText w:val=""/>
      <w:lvlJc w:val="left"/>
      <w:pPr>
        <w:ind w:left="2597" w:hanging="360"/>
      </w:pPr>
      <w:rPr>
        <w:rFonts w:ascii="Symbol" w:hAnsi="Symbol" w:hint="default"/>
      </w:rPr>
    </w:lvl>
    <w:lvl w:ilvl="4" w:tplc="04020003" w:tentative="1">
      <w:start w:val="1"/>
      <w:numFmt w:val="bullet"/>
      <w:lvlText w:val="o"/>
      <w:lvlJc w:val="left"/>
      <w:pPr>
        <w:ind w:left="3317" w:hanging="360"/>
      </w:pPr>
      <w:rPr>
        <w:rFonts w:ascii="Courier New" w:hAnsi="Courier New" w:cs="Courier New" w:hint="default"/>
      </w:rPr>
    </w:lvl>
    <w:lvl w:ilvl="5" w:tplc="04020005" w:tentative="1">
      <w:start w:val="1"/>
      <w:numFmt w:val="bullet"/>
      <w:lvlText w:val=""/>
      <w:lvlJc w:val="left"/>
      <w:pPr>
        <w:ind w:left="4037" w:hanging="360"/>
      </w:pPr>
      <w:rPr>
        <w:rFonts w:ascii="Wingdings" w:hAnsi="Wingdings" w:hint="default"/>
      </w:rPr>
    </w:lvl>
    <w:lvl w:ilvl="6" w:tplc="04020001" w:tentative="1">
      <w:start w:val="1"/>
      <w:numFmt w:val="bullet"/>
      <w:lvlText w:val=""/>
      <w:lvlJc w:val="left"/>
      <w:pPr>
        <w:ind w:left="4757" w:hanging="360"/>
      </w:pPr>
      <w:rPr>
        <w:rFonts w:ascii="Symbol" w:hAnsi="Symbol" w:hint="default"/>
      </w:rPr>
    </w:lvl>
    <w:lvl w:ilvl="7" w:tplc="04020003" w:tentative="1">
      <w:start w:val="1"/>
      <w:numFmt w:val="bullet"/>
      <w:lvlText w:val="o"/>
      <w:lvlJc w:val="left"/>
      <w:pPr>
        <w:ind w:left="5477" w:hanging="360"/>
      </w:pPr>
      <w:rPr>
        <w:rFonts w:ascii="Courier New" w:hAnsi="Courier New" w:cs="Courier New" w:hint="default"/>
      </w:rPr>
    </w:lvl>
    <w:lvl w:ilvl="8" w:tplc="04020005" w:tentative="1">
      <w:start w:val="1"/>
      <w:numFmt w:val="bullet"/>
      <w:lvlText w:val=""/>
      <w:lvlJc w:val="left"/>
      <w:pPr>
        <w:ind w:left="6197" w:hanging="360"/>
      </w:pPr>
      <w:rPr>
        <w:rFonts w:ascii="Wingdings" w:hAnsi="Wingdings" w:hint="default"/>
      </w:rPr>
    </w:lvl>
  </w:abstractNum>
  <w:abstractNum w:abstractNumId="7">
    <w:nsid w:val="1B7C1D91"/>
    <w:multiLevelType w:val="hybridMultilevel"/>
    <w:tmpl w:val="DAFEF99E"/>
    <w:lvl w:ilvl="0" w:tplc="8BE2ED90">
      <w:numFmt w:val="bullet"/>
      <w:lvlText w:val="•"/>
      <w:lvlJc w:val="left"/>
      <w:pPr>
        <w:ind w:left="720" w:hanging="360"/>
      </w:pPr>
      <w:rPr>
        <w:rFonts w:ascii="Calibri" w:hAnsi="Calibri" w:hint="default"/>
        <w:color w:val="76923C"/>
        <w:sz w:val="20"/>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1C437C91"/>
    <w:multiLevelType w:val="hybridMultilevel"/>
    <w:tmpl w:val="281ACD8A"/>
    <w:lvl w:ilvl="0" w:tplc="0402000F">
      <w:start w:val="1"/>
      <w:numFmt w:val="decimal"/>
      <w:lvlText w:val="%1."/>
      <w:lvlJc w:val="left"/>
      <w:pPr>
        <w:ind w:left="720" w:hanging="360"/>
      </w:pPr>
    </w:lvl>
    <w:lvl w:ilvl="1" w:tplc="04020019">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9">
    <w:nsid w:val="201C0E53"/>
    <w:multiLevelType w:val="hybridMultilevel"/>
    <w:tmpl w:val="80026EBC"/>
    <w:lvl w:ilvl="0" w:tplc="328EFDD6">
      <w:start w:val="1"/>
      <w:numFmt w:val="bullet"/>
      <w:lvlText w:val=""/>
      <w:lvlJc w:val="left"/>
      <w:pPr>
        <w:ind w:left="720" w:hanging="360"/>
      </w:pPr>
      <w:rPr>
        <w:rFonts w:ascii="Wingdings" w:hAnsi="Wingdings" w:hint="default"/>
        <w:b/>
        <w:i w:val="0"/>
        <w:color w:val="E36C0A"/>
        <w:sz w:val="16"/>
        <w14:shadow w14:blurRad="0" w14:dist="0" w14:dir="0" w14:sx="0" w14:sy="0" w14:kx="0" w14:ky="0" w14:algn="none">
          <w14:srgbClr w14:val="000000"/>
        </w14:shadow>
        <w14:textOutline w14:w="0" w14:cap="rnd" w14:cmpd="sng" w14:algn="ctr">
          <w14:noFill/>
          <w14:prstDash w14:val="solid"/>
          <w14:bevel/>
        </w14:textOutline>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2185217B"/>
    <w:multiLevelType w:val="hybridMultilevel"/>
    <w:tmpl w:val="6C16F0F8"/>
    <w:lvl w:ilvl="0" w:tplc="BC9C31F8">
      <w:start w:val="1"/>
      <w:numFmt w:val="bullet"/>
      <w:lvlText w:val=""/>
      <w:lvlJc w:val="left"/>
      <w:pPr>
        <w:ind w:left="720" w:hanging="360"/>
      </w:pPr>
      <w:rPr>
        <w:rFonts w:ascii="Symbol" w:hAnsi="Symbol" w:hint="default"/>
        <w:color w:val="548DD4"/>
        <w:sz w:val="16"/>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1">
    <w:nsid w:val="24F33750"/>
    <w:multiLevelType w:val="hybridMultilevel"/>
    <w:tmpl w:val="AB488380"/>
    <w:lvl w:ilvl="0" w:tplc="6C462736">
      <w:start w:val="1"/>
      <w:numFmt w:val="decimal"/>
      <w:lvlText w:val="%1."/>
      <w:lvlJc w:val="left"/>
      <w:pPr>
        <w:ind w:left="1065" w:hanging="705"/>
      </w:pPr>
      <w:rPr>
        <w:rFonts w:hint="default"/>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2">
    <w:nsid w:val="252C455B"/>
    <w:multiLevelType w:val="hybridMultilevel"/>
    <w:tmpl w:val="FC90AEF8"/>
    <w:lvl w:ilvl="0" w:tplc="328EFDD6">
      <w:start w:val="1"/>
      <w:numFmt w:val="bullet"/>
      <w:lvlText w:val=""/>
      <w:lvlJc w:val="left"/>
      <w:pPr>
        <w:tabs>
          <w:tab w:val="num" w:pos="3690"/>
        </w:tabs>
        <w:ind w:left="3330" w:firstLine="0"/>
      </w:pPr>
      <w:rPr>
        <w:rFonts w:ascii="Wingdings" w:hAnsi="Wingdings" w:hint="default"/>
        <w:b/>
        <w:i w:val="0"/>
        <w:color w:val="E36C0A"/>
        <w:sz w:val="16"/>
        <w:szCs w:val="16"/>
        <w14:shadow w14:blurRad="0" w14:dist="0" w14:dir="0" w14:sx="0" w14:sy="0" w14:kx="0" w14:ky="0" w14:algn="none">
          <w14:srgbClr w14:val="000000"/>
        </w14:shadow>
        <w14:textOutline w14:w="0" w14:cap="rnd" w14:cmpd="sng" w14:algn="ctr">
          <w14:noFill/>
          <w14:prstDash w14:val="solid"/>
          <w14:bevel/>
        </w14:textOutline>
      </w:rPr>
    </w:lvl>
    <w:lvl w:ilvl="1" w:tplc="99B4FA3C" w:tentative="1">
      <w:start w:val="1"/>
      <w:numFmt w:val="bullet"/>
      <w:lvlText w:val="o"/>
      <w:lvlJc w:val="left"/>
      <w:pPr>
        <w:tabs>
          <w:tab w:val="num" w:pos="4320"/>
        </w:tabs>
        <w:ind w:left="4320" w:hanging="360"/>
      </w:pPr>
      <w:rPr>
        <w:rFonts w:ascii="Courier New" w:hAnsi="Courier New" w:hint="default"/>
      </w:rPr>
    </w:lvl>
    <w:lvl w:ilvl="2" w:tplc="710E924E" w:tentative="1">
      <w:start w:val="1"/>
      <w:numFmt w:val="bullet"/>
      <w:lvlText w:val=""/>
      <w:lvlJc w:val="left"/>
      <w:pPr>
        <w:tabs>
          <w:tab w:val="num" w:pos="5040"/>
        </w:tabs>
        <w:ind w:left="5040" w:hanging="360"/>
      </w:pPr>
      <w:rPr>
        <w:rFonts w:ascii="Wingdings" w:hAnsi="Wingdings" w:hint="default"/>
      </w:rPr>
    </w:lvl>
    <w:lvl w:ilvl="3" w:tplc="5B60CD62" w:tentative="1">
      <w:start w:val="1"/>
      <w:numFmt w:val="bullet"/>
      <w:lvlText w:val=""/>
      <w:lvlJc w:val="left"/>
      <w:pPr>
        <w:tabs>
          <w:tab w:val="num" w:pos="5760"/>
        </w:tabs>
        <w:ind w:left="5760" w:hanging="360"/>
      </w:pPr>
      <w:rPr>
        <w:rFonts w:ascii="Symbol" w:hAnsi="Symbol" w:hint="default"/>
      </w:rPr>
    </w:lvl>
    <w:lvl w:ilvl="4" w:tplc="BC7A38B8" w:tentative="1">
      <w:start w:val="1"/>
      <w:numFmt w:val="bullet"/>
      <w:lvlText w:val="o"/>
      <w:lvlJc w:val="left"/>
      <w:pPr>
        <w:tabs>
          <w:tab w:val="num" w:pos="6480"/>
        </w:tabs>
        <w:ind w:left="6480" w:hanging="360"/>
      </w:pPr>
      <w:rPr>
        <w:rFonts w:ascii="Courier New" w:hAnsi="Courier New" w:hint="default"/>
      </w:rPr>
    </w:lvl>
    <w:lvl w:ilvl="5" w:tplc="51A6B672" w:tentative="1">
      <w:start w:val="1"/>
      <w:numFmt w:val="bullet"/>
      <w:lvlText w:val=""/>
      <w:lvlJc w:val="left"/>
      <w:pPr>
        <w:tabs>
          <w:tab w:val="num" w:pos="7200"/>
        </w:tabs>
        <w:ind w:left="7200" w:hanging="360"/>
      </w:pPr>
      <w:rPr>
        <w:rFonts w:ascii="Wingdings" w:hAnsi="Wingdings" w:hint="default"/>
      </w:rPr>
    </w:lvl>
    <w:lvl w:ilvl="6" w:tplc="B510CEE6" w:tentative="1">
      <w:start w:val="1"/>
      <w:numFmt w:val="bullet"/>
      <w:lvlText w:val=""/>
      <w:lvlJc w:val="left"/>
      <w:pPr>
        <w:tabs>
          <w:tab w:val="num" w:pos="7920"/>
        </w:tabs>
        <w:ind w:left="7920" w:hanging="360"/>
      </w:pPr>
      <w:rPr>
        <w:rFonts w:ascii="Symbol" w:hAnsi="Symbol" w:hint="default"/>
      </w:rPr>
    </w:lvl>
    <w:lvl w:ilvl="7" w:tplc="0DAA8E30" w:tentative="1">
      <w:start w:val="1"/>
      <w:numFmt w:val="bullet"/>
      <w:lvlText w:val="o"/>
      <w:lvlJc w:val="left"/>
      <w:pPr>
        <w:tabs>
          <w:tab w:val="num" w:pos="8640"/>
        </w:tabs>
        <w:ind w:left="8640" w:hanging="360"/>
      </w:pPr>
      <w:rPr>
        <w:rFonts w:ascii="Courier New" w:hAnsi="Courier New" w:hint="default"/>
      </w:rPr>
    </w:lvl>
    <w:lvl w:ilvl="8" w:tplc="45B6E804" w:tentative="1">
      <w:start w:val="1"/>
      <w:numFmt w:val="bullet"/>
      <w:lvlText w:val=""/>
      <w:lvlJc w:val="left"/>
      <w:pPr>
        <w:tabs>
          <w:tab w:val="num" w:pos="9360"/>
        </w:tabs>
        <w:ind w:left="9360" w:hanging="360"/>
      </w:pPr>
      <w:rPr>
        <w:rFonts w:ascii="Wingdings" w:hAnsi="Wingdings" w:hint="default"/>
      </w:rPr>
    </w:lvl>
  </w:abstractNum>
  <w:abstractNum w:abstractNumId="13">
    <w:nsid w:val="2DB93BA0"/>
    <w:multiLevelType w:val="hybridMultilevel"/>
    <w:tmpl w:val="40C2D11E"/>
    <w:lvl w:ilvl="0" w:tplc="E9121914">
      <w:start w:val="1"/>
      <w:numFmt w:val="bullet"/>
      <w:lvlText w:val=""/>
      <w:lvlJc w:val="left"/>
      <w:pPr>
        <w:ind w:left="720" w:hanging="360"/>
      </w:pPr>
      <w:rPr>
        <w:rFonts w:ascii="Symbol" w:hAnsi="Symbol" w:hint="default"/>
        <w:color w:val="E36C0A"/>
        <w:sz w:val="18"/>
        <w:szCs w:val="36"/>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nsid w:val="2DEF5709"/>
    <w:multiLevelType w:val="hybridMultilevel"/>
    <w:tmpl w:val="D38C27AA"/>
    <w:lvl w:ilvl="0" w:tplc="964A31EC">
      <w:start w:val="1"/>
      <w:numFmt w:val="bullet"/>
      <w:lvlText w:val=""/>
      <w:lvlJc w:val="left"/>
      <w:pPr>
        <w:ind w:left="720" w:hanging="360"/>
      </w:pPr>
      <w:rPr>
        <w:rFonts w:ascii="Symbol" w:hAnsi="Symbol" w:hint="default"/>
        <w:color w:val="548DD4"/>
        <w:sz w:val="18"/>
      </w:rPr>
    </w:lvl>
    <w:lvl w:ilvl="1" w:tplc="04020003">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5">
    <w:nsid w:val="319E3574"/>
    <w:multiLevelType w:val="hybridMultilevel"/>
    <w:tmpl w:val="D878103C"/>
    <w:lvl w:ilvl="0" w:tplc="964A31EC">
      <w:start w:val="1"/>
      <w:numFmt w:val="bullet"/>
      <w:lvlText w:val=""/>
      <w:lvlJc w:val="left"/>
      <w:pPr>
        <w:ind w:left="1068" w:hanging="360"/>
      </w:pPr>
      <w:rPr>
        <w:rFonts w:ascii="Symbol" w:hAnsi="Symbol" w:hint="default"/>
        <w:color w:val="548DD4"/>
        <w:sz w:val="18"/>
      </w:rPr>
    </w:lvl>
    <w:lvl w:ilvl="1" w:tplc="04020003" w:tentative="1">
      <w:start w:val="1"/>
      <w:numFmt w:val="bullet"/>
      <w:lvlText w:val="o"/>
      <w:lvlJc w:val="left"/>
      <w:pPr>
        <w:ind w:left="1788" w:hanging="360"/>
      </w:pPr>
      <w:rPr>
        <w:rFonts w:ascii="Courier New" w:hAnsi="Courier New" w:cs="Courier New" w:hint="default"/>
      </w:rPr>
    </w:lvl>
    <w:lvl w:ilvl="2" w:tplc="04020005" w:tentative="1">
      <w:start w:val="1"/>
      <w:numFmt w:val="bullet"/>
      <w:lvlText w:val=""/>
      <w:lvlJc w:val="left"/>
      <w:pPr>
        <w:ind w:left="2508" w:hanging="360"/>
      </w:pPr>
      <w:rPr>
        <w:rFonts w:ascii="Wingdings" w:hAnsi="Wingdings" w:hint="default"/>
      </w:rPr>
    </w:lvl>
    <w:lvl w:ilvl="3" w:tplc="04020001" w:tentative="1">
      <w:start w:val="1"/>
      <w:numFmt w:val="bullet"/>
      <w:lvlText w:val=""/>
      <w:lvlJc w:val="left"/>
      <w:pPr>
        <w:ind w:left="3228" w:hanging="360"/>
      </w:pPr>
      <w:rPr>
        <w:rFonts w:ascii="Symbol" w:hAnsi="Symbol" w:hint="default"/>
      </w:rPr>
    </w:lvl>
    <w:lvl w:ilvl="4" w:tplc="04020003" w:tentative="1">
      <w:start w:val="1"/>
      <w:numFmt w:val="bullet"/>
      <w:lvlText w:val="o"/>
      <w:lvlJc w:val="left"/>
      <w:pPr>
        <w:ind w:left="3948" w:hanging="360"/>
      </w:pPr>
      <w:rPr>
        <w:rFonts w:ascii="Courier New" w:hAnsi="Courier New" w:cs="Courier New" w:hint="default"/>
      </w:rPr>
    </w:lvl>
    <w:lvl w:ilvl="5" w:tplc="04020005" w:tentative="1">
      <w:start w:val="1"/>
      <w:numFmt w:val="bullet"/>
      <w:lvlText w:val=""/>
      <w:lvlJc w:val="left"/>
      <w:pPr>
        <w:ind w:left="4668" w:hanging="360"/>
      </w:pPr>
      <w:rPr>
        <w:rFonts w:ascii="Wingdings" w:hAnsi="Wingdings" w:hint="default"/>
      </w:rPr>
    </w:lvl>
    <w:lvl w:ilvl="6" w:tplc="04020001" w:tentative="1">
      <w:start w:val="1"/>
      <w:numFmt w:val="bullet"/>
      <w:lvlText w:val=""/>
      <w:lvlJc w:val="left"/>
      <w:pPr>
        <w:ind w:left="5388" w:hanging="360"/>
      </w:pPr>
      <w:rPr>
        <w:rFonts w:ascii="Symbol" w:hAnsi="Symbol" w:hint="default"/>
      </w:rPr>
    </w:lvl>
    <w:lvl w:ilvl="7" w:tplc="04020003" w:tentative="1">
      <w:start w:val="1"/>
      <w:numFmt w:val="bullet"/>
      <w:lvlText w:val="o"/>
      <w:lvlJc w:val="left"/>
      <w:pPr>
        <w:ind w:left="6108" w:hanging="360"/>
      </w:pPr>
      <w:rPr>
        <w:rFonts w:ascii="Courier New" w:hAnsi="Courier New" w:cs="Courier New" w:hint="default"/>
      </w:rPr>
    </w:lvl>
    <w:lvl w:ilvl="8" w:tplc="04020005" w:tentative="1">
      <w:start w:val="1"/>
      <w:numFmt w:val="bullet"/>
      <w:lvlText w:val=""/>
      <w:lvlJc w:val="left"/>
      <w:pPr>
        <w:ind w:left="6828" w:hanging="360"/>
      </w:pPr>
      <w:rPr>
        <w:rFonts w:ascii="Wingdings" w:hAnsi="Wingdings" w:hint="default"/>
      </w:rPr>
    </w:lvl>
  </w:abstractNum>
  <w:abstractNum w:abstractNumId="16">
    <w:nsid w:val="36CE34CD"/>
    <w:multiLevelType w:val="hybridMultilevel"/>
    <w:tmpl w:val="9E6E58F6"/>
    <w:lvl w:ilvl="0" w:tplc="2E840AC6">
      <w:start w:val="2010"/>
      <w:numFmt w:val="bullet"/>
      <w:lvlText w:val="-"/>
      <w:lvlJc w:val="left"/>
      <w:pPr>
        <w:ind w:left="585" w:hanging="360"/>
      </w:pPr>
      <w:rPr>
        <w:rFonts w:ascii="Calibri" w:eastAsia="Times New Roman" w:hAnsi="Calibri" w:cs="Times New Roman" w:hint="default"/>
      </w:rPr>
    </w:lvl>
    <w:lvl w:ilvl="1" w:tplc="04020003" w:tentative="1">
      <w:start w:val="1"/>
      <w:numFmt w:val="bullet"/>
      <w:lvlText w:val="o"/>
      <w:lvlJc w:val="left"/>
      <w:pPr>
        <w:ind w:left="1305" w:hanging="360"/>
      </w:pPr>
      <w:rPr>
        <w:rFonts w:ascii="Courier New" w:hAnsi="Courier New" w:cs="Courier New" w:hint="default"/>
      </w:rPr>
    </w:lvl>
    <w:lvl w:ilvl="2" w:tplc="04020005" w:tentative="1">
      <w:start w:val="1"/>
      <w:numFmt w:val="bullet"/>
      <w:lvlText w:val=""/>
      <w:lvlJc w:val="left"/>
      <w:pPr>
        <w:ind w:left="2025" w:hanging="360"/>
      </w:pPr>
      <w:rPr>
        <w:rFonts w:ascii="Wingdings" w:hAnsi="Wingdings" w:hint="default"/>
      </w:rPr>
    </w:lvl>
    <w:lvl w:ilvl="3" w:tplc="04020001" w:tentative="1">
      <w:start w:val="1"/>
      <w:numFmt w:val="bullet"/>
      <w:lvlText w:val=""/>
      <w:lvlJc w:val="left"/>
      <w:pPr>
        <w:ind w:left="2745" w:hanging="360"/>
      </w:pPr>
      <w:rPr>
        <w:rFonts w:ascii="Symbol" w:hAnsi="Symbol" w:hint="default"/>
      </w:rPr>
    </w:lvl>
    <w:lvl w:ilvl="4" w:tplc="04020003" w:tentative="1">
      <w:start w:val="1"/>
      <w:numFmt w:val="bullet"/>
      <w:lvlText w:val="o"/>
      <w:lvlJc w:val="left"/>
      <w:pPr>
        <w:ind w:left="3465" w:hanging="360"/>
      </w:pPr>
      <w:rPr>
        <w:rFonts w:ascii="Courier New" w:hAnsi="Courier New" w:cs="Courier New" w:hint="default"/>
      </w:rPr>
    </w:lvl>
    <w:lvl w:ilvl="5" w:tplc="04020005" w:tentative="1">
      <w:start w:val="1"/>
      <w:numFmt w:val="bullet"/>
      <w:lvlText w:val=""/>
      <w:lvlJc w:val="left"/>
      <w:pPr>
        <w:ind w:left="4185" w:hanging="360"/>
      </w:pPr>
      <w:rPr>
        <w:rFonts w:ascii="Wingdings" w:hAnsi="Wingdings" w:hint="default"/>
      </w:rPr>
    </w:lvl>
    <w:lvl w:ilvl="6" w:tplc="04020001" w:tentative="1">
      <w:start w:val="1"/>
      <w:numFmt w:val="bullet"/>
      <w:lvlText w:val=""/>
      <w:lvlJc w:val="left"/>
      <w:pPr>
        <w:ind w:left="4905" w:hanging="360"/>
      </w:pPr>
      <w:rPr>
        <w:rFonts w:ascii="Symbol" w:hAnsi="Symbol" w:hint="default"/>
      </w:rPr>
    </w:lvl>
    <w:lvl w:ilvl="7" w:tplc="04020003" w:tentative="1">
      <w:start w:val="1"/>
      <w:numFmt w:val="bullet"/>
      <w:lvlText w:val="o"/>
      <w:lvlJc w:val="left"/>
      <w:pPr>
        <w:ind w:left="5625" w:hanging="360"/>
      </w:pPr>
      <w:rPr>
        <w:rFonts w:ascii="Courier New" w:hAnsi="Courier New" w:cs="Courier New" w:hint="default"/>
      </w:rPr>
    </w:lvl>
    <w:lvl w:ilvl="8" w:tplc="04020005" w:tentative="1">
      <w:start w:val="1"/>
      <w:numFmt w:val="bullet"/>
      <w:lvlText w:val=""/>
      <w:lvlJc w:val="left"/>
      <w:pPr>
        <w:ind w:left="6345" w:hanging="360"/>
      </w:pPr>
      <w:rPr>
        <w:rFonts w:ascii="Wingdings" w:hAnsi="Wingdings" w:hint="default"/>
      </w:rPr>
    </w:lvl>
  </w:abstractNum>
  <w:abstractNum w:abstractNumId="17">
    <w:nsid w:val="391B7F9E"/>
    <w:multiLevelType w:val="hybridMultilevel"/>
    <w:tmpl w:val="313E6620"/>
    <w:lvl w:ilvl="0" w:tplc="70F4E1EA">
      <w:numFmt w:val="bullet"/>
      <w:lvlText w:val="-"/>
      <w:lvlJc w:val="left"/>
      <w:pPr>
        <w:ind w:left="720" w:hanging="360"/>
      </w:pPr>
      <w:rPr>
        <w:rFonts w:ascii="Calibri" w:hAnsi="Calibri" w:hint="default"/>
        <w:color w:val="4F6228"/>
        <w:sz w:val="2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8">
    <w:nsid w:val="3B2F3DBD"/>
    <w:multiLevelType w:val="hybridMultilevel"/>
    <w:tmpl w:val="9EF47A44"/>
    <w:lvl w:ilvl="0" w:tplc="E9121914">
      <w:start w:val="1"/>
      <w:numFmt w:val="bullet"/>
      <w:lvlText w:val=""/>
      <w:lvlJc w:val="left"/>
      <w:pPr>
        <w:ind w:left="900" w:hanging="360"/>
      </w:pPr>
      <w:rPr>
        <w:rFonts w:ascii="Symbol" w:hAnsi="Symbol" w:hint="default"/>
        <w:color w:val="E36C0A"/>
        <w:sz w:val="18"/>
        <w:szCs w:val="36"/>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19">
    <w:nsid w:val="3F0562AE"/>
    <w:multiLevelType w:val="hybridMultilevel"/>
    <w:tmpl w:val="0420B780"/>
    <w:lvl w:ilvl="0" w:tplc="964A31EC">
      <w:start w:val="1"/>
      <w:numFmt w:val="bullet"/>
      <w:lvlText w:val=""/>
      <w:lvlJc w:val="left"/>
      <w:pPr>
        <w:ind w:left="720" w:hanging="360"/>
      </w:pPr>
      <w:rPr>
        <w:rFonts w:ascii="Symbol" w:hAnsi="Symbol" w:hint="default"/>
        <w:color w:val="548DD4"/>
        <w:sz w:val="18"/>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0">
    <w:nsid w:val="40733E80"/>
    <w:multiLevelType w:val="hybridMultilevel"/>
    <w:tmpl w:val="3F062CBC"/>
    <w:lvl w:ilvl="0" w:tplc="3D0A1522">
      <w:start w:val="1"/>
      <w:numFmt w:val="bullet"/>
      <w:lvlText w:val=""/>
      <w:lvlJc w:val="left"/>
      <w:pPr>
        <w:ind w:left="900" w:hanging="360"/>
      </w:pPr>
      <w:rPr>
        <w:rFonts w:ascii="Symbol" w:hAnsi="Symbol" w:hint="default"/>
        <w:b/>
        <w:i w:val="0"/>
        <w:color w:val="E36C0A"/>
        <w:sz w:val="18"/>
        <w:szCs w:val="36"/>
      </w:rPr>
    </w:lvl>
    <w:lvl w:ilvl="1" w:tplc="04020003" w:tentative="1">
      <w:start w:val="1"/>
      <w:numFmt w:val="bullet"/>
      <w:lvlText w:val="o"/>
      <w:lvlJc w:val="left"/>
      <w:pPr>
        <w:ind w:left="1620" w:hanging="360"/>
      </w:pPr>
      <w:rPr>
        <w:rFonts w:ascii="Courier New" w:hAnsi="Courier New" w:cs="Courier New" w:hint="default"/>
      </w:rPr>
    </w:lvl>
    <w:lvl w:ilvl="2" w:tplc="04020005" w:tentative="1">
      <w:start w:val="1"/>
      <w:numFmt w:val="bullet"/>
      <w:lvlText w:val=""/>
      <w:lvlJc w:val="left"/>
      <w:pPr>
        <w:ind w:left="2340" w:hanging="360"/>
      </w:pPr>
      <w:rPr>
        <w:rFonts w:ascii="Wingdings" w:hAnsi="Wingdings" w:hint="default"/>
      </w:rPr>
    </w:lvl>
    <w:lvl w:ilvl="3" w:tplc="04020001" w:tentative="1">
      <w:start w:val="1"/>
      <w:numFmt w:val="bullet"/>
      <w:lvlText w:val=""/>
      <w:lvlJc w:val="left"/>
      <w:pPr>
        <w:ind w:left="3060" w:hanging="360"/>
      </w:pPr>
      <w:rPr>
        <w:rFonts w:ascii="Symbol" w:hAnsi="Symbol" w:hint="default"/>
      </w:rPr>
    </w:lvl>
    <w:lvl w:ilvl="4" w:tplc="04020003" w:tentative="1">
      <w:start w:val="1"/>
      <w:numFmt w:val="bullet"/>
      <w:lvlText w:val="o"/>
      <w:lvlJc w:val="left"/>
      <w:pPr>
        <w:ind w:left="3780" w:hanging="360"/>
      </w:pPr>
      <w:rPr>
        <w:rFonts w:ascii="Courier New" w:hAnsi="Courier New" w:cs="Courier New" w:hint="default"/>
      </w:rPr>
    </w:lvl>
    <w:lvl w:ilvl="5" w:tplc="04020005" w:tentative="1">
      <w:start w:val="1"/>
      <w:numFmt w:val="bullet"/>
      <w:lvlText w:val=""/>
      <w:lvlJc w:val="left"/>
      <w:pPr>
        <w:ind w:left="4500" w:hanging="360"/>
      </w:pPr>
      <w:rPr>
        <w:rFonts w:ascii="Wingdings" w:hAnsi="Wingdings" w:hint="default"/>
      </w:rPr>
    </w:lvl>
    <w:lvl w:ilvl="6" w:tplc="04020001" w:tentative="1">
      <w:start w:val="1"/>
      <w:numFmt w:val="bullet"/>
      <w:lvlText w:val=""/>
      <w:lvlJc w:val="left"/>
      <w:pPr>
        <w:ind w:left="5220" w:hanging="360"/>
      </w:pPr>
      <w:rPr>
        <w:rFonts w:ascii="Symbol" w:hAnsi="Symbol" w:hint="default"/>
      </w:rPr>
    </w:lvl>
    <w:lvl w:ilvl="7" w:tplc="04020003" w:tentative="1">
      <w:start w:val="1"/>
      <w:numFmt w:val="bullet"/>
      <w:lvlText w:val="o"/>
      <w:lvlJc w:val="left"/>
      <w:pPr>
        <w:ind w:left="5940" w:hanging="360"/>
      </w:pPr>
      <w:rPr>
        <w:rFonts w:ascii="Courier New" w:hAnsi="Courier New" w:cs="Courier New" w:hint="default"/>
      </w:rPr>
    </w:lvl>
    <w:lvl w:ilvl="8" w:tplc="04020005" w:tentative="1">
      <w:start w:val="1"/>
      <w:numFmt w:val="bullet"/>
      <w:lvlText w:val=""/>
      <w:lvlJc w:val="left"/>
      <w:pPr>
        <w:ind w:left="6660" w:hanging="360"/>
      </w:pPr>
      <w:rPr>
        <w:rFonts w:ascii="Wingdings" w:hAnsi="Wingdings" w:hint="default"/>
      </w:rPr>
    </w:lvl>
  </w:abstractNum>
  <w:abstractNum w:abstractNumId="21">
    <w:nsid w:val="440B157B"/>
    <w:multiLevelType w:val="hybridMultilevel"/>
    <w:tmpl w:val="87400C6E"/>
    <w:lvl w:ilvl="0" w:tplc="DE5638C0">
      <w:start w:val="1"/>
      <w:numFmt w:val="bullet"/>
      <w:lvlText w:val=""/>
      <w:lvlJc w:val="left"/>
      <w:pPr>
        <w:tabs>
          <w:tab w:val="num" w:pos="4973"/>
        </w:tabs>
        <w:ind w:left="4973" w:firstLine="0"/>
      </w:pPr>
      <w:rPr>
        <w:rFonts w:ascii="Wingdings 2" w:hAnsi="Wingdings 2" w:hint="default"/>
        <w:b/>
        <w:i w:val="0"/>
        <w:color w:val="E36C0A"/>
        <w:sz w:val="28"/>
        <w:szCs w:val="24"/>
      </w:rPr>
    </w:lvl>
    <w:lvl w:ilvl="1" w:tplc="671AD95A">
      <w:start w:val="1"/>
      <w:numFmt w:val="bullet"/>
      <w:lvlText w:val=""/>
      <w:lvlJc w:val="left"/>
      <w:pPr>
        <w:tabs>
          <w:tab w:val="num" w:pos="1440"/>
        </w:tabs>
        <w:ind w:left="1080" w:firstLine="0"/>
      </w:pPr>
      <w:rPr>
        <w:rFonts w:ascii="Wingdings" w:hAnsi="Wingdings" w:cs="Times New Roman" w:hint="default"/>
        <w:color w:val="FF0000"/>
        <w:sz w:val="16"/>
      </w:rPr>
    </w:lvl>
    <w:lvl w:ilvl="2" w:tplc="14349216" w:tentative="1">
      <w:start w:val="1"/>
      <w:numFmt w:val="bullet"/>
      <w:lvlText w:val=""/>
      <w:lvlJc w:val="left"/>
      <w:pPr>
        <w:tabs>
          <w:tab w:val="num" w:pos="2160"/>
        </w:tabs>
        <w:ind w:left="2160" w:hanging="360"/>
      </w:pPr>
      <w:rPr>
        <w:rFonts w:ascii="Wingdings" w:hAnsi="Wingdings" w:hint="default"/>
      </w:rPr>
    </w:lvl>
    <w:lvl w:ilvl="3" w:tplc="C8C6E068" w:tentative="1">
      <w:start w:val="1"/>
      <w:numFmt w:val="bullet"/>
      <w:lvlText w:val=""/>
      <w:lvlJc w:val="left"/>
      <w:pPr>
        <w:tabs>
          <w:tab w:val="num" w:pos="2880"/>
        </w:tabs>
        <w:ind w:left="2880" w:hanging="360"/>
      </w:pPr>
      <w:rPr>
        <w:rFonts w:ascii="Symbol" w:hAnsi="Symbol" w:hint="default"/>
      </w:rPr>
    </w:lvl>
    <w:lvl w:ilvl="4" w:tplc="9E1E7632" w:tentative="1">
      <w:start w:val="1"/>
      <w:numFmt w:val="bullet"/>
      <w:lvlText w:val="o"/>
      <w:lvlJc w:val="left"/>
      <w:pPr>
        <w:tabs>
          <w:tab w:val="num" w:pos="3600"/>
        </w:tabs>
        <w:ind w:left="3600" w:hanging="360"/>
      </w:pPr>
      <w:rPr>
        <w:rFonts w:ascii="Courier New" w:hAnsi="Courier New" w:hint="default"/>
      </w:rPr>
    </w:lvl>
    <w:lvl w:ilvl="5" w:tplc="00306EF6" w:tentative="1">
      <w:start w:val="1"/>
      <w:numFmt w:val="bullet"/>
      <w:lvlText w:val=""/>
      <w:lvlJc w:val="left"/>
      <w:pPr>
        <w:tabs>
          <w:tab w:val="num" w:pos="4320"/>
        </w:tabs>
        <w:ind w:left="4320" w:hanging="360"/>
      </w:pPr>
      <w:rPr>
        <w:rFonts w:ascii="Wingdings" w:hAnsi="Wingdings" w:hint="default"/>
      </w:rPr>
    </w:lvl>
    <w:lvl w:ilvl="6" w:tplc="482063DC" w:tentative="1">
      <w:start w:val="1"/>
      <w:numFmt w:val="bullet"/>
      <w:lvlText w:val=""/>
      <w:lvlJc w:val="left"/>
      <w:pPr>
        <w:tabs>
          <w:tab w:val="num" w:pos="5040"/>
        </w:tabs>
        <w:ind w:left="5040" w:hanging="360"/>
      </w:pPr>
      <w:rPr>
        <w:rFonts w:ascii="Symbol" w:hAnsi="Symbol" w:hint="default"/>
      </w:rPr>
    </w:lvl>
    <w:lvl w:ilvl="7" w:tplc="5EA2C460" w:tentative="1">
      <w:start w:val="1"/>
      <w:numFmt w:val="bullet"/>
      <w:lvlText w:val="o"/>
      <w:lvlJc w:val="left"/>
      <w:pPr>
        <w:tabs>
          <w:tab w:val="num" w:pos="5760"/>
        </w:tabs>
        <w:ind w:left="5760" w:hanging="360"/>
      </w:pPr>
      <w:rPr>
        <w:rFonts w:ascii="Courier New" w:hAnsi="Courier New" w:hint="default"/>
      </w:rPr>
    </w:lvl>
    <w:lvl w:ilvl="8" w:tplc="2C9A7832" w:tentative="1">
      <w:start w:val="1"/>
      <w:numFmt w:val="bullet"/>
      <w:lvlText w:val=""/>
      <w:lvlJc w:val="left"/>
      <w:pPr>
        <w:tabs>
          <w:tab w:val="num" w:pos="6480"/>
        </w:tabs>
        <w:ind w:left="6480" w:hanging="360"/>
      </w:pPr>
      <w:rPr>
        <w:rFonts w:ascii="Wingdings" w:hAnsi="Wingdings" w:hint="default"/>
      </w:rPr>
    </w:lvl>
  </w:abstractNum>
  <w:abstractNum w:abstractNumId="22">
    <w:nsid w:val="45244A18"/>
    <w:multiLevelType w:val="hybridMultilevel"/>
    <w:tmpl w:val="03B80C76"/>
    <w:lvl w:ilvl="0" w:tplc="CBB46C3E">
      <w:start w:val="1"/>
      <w:numFmt w:val="bullet"/>
      <w:lvlText w:val=""/>
      <w:lvlJc w:val="left"/>
      <w:pPr>
        <w:ind w:left="720" w:hanging="360"/>
      </w:pPr>
      <w:rPr>
        <w:rFonts w:ascii="Wingdings 3" w:hAnsi="Wingdings 3" w:hint="default"/>
        <w:color w:val="E36C0A"/>
        <w:sz w:val="24"/>
        <w:szCs w:val="36"/>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3">
    <w:nsid w:val="4E096E3E"/>
    <w:multiLevelType w:val="hybridMultilevel"/>
    <w:tmpl w:val="AE2EB114"/>
    <w:lvl w:ilvl="0" w:tplc="FFFFFFFF">
      <w:numFmt w:val="bullet"/>
      <w:lvlText w:val=""/>
      <w:lvlJc w:val="left"/>
      <w:pPr>
        <w:tabs>
          <w:tab w:val="num" w:pos="720"/>
        </w:tabs>
        <w:ind w:left="720" w:hanging="360"/>
      </w:pPr>
      <w:rPr>
        <w:rFonts w:ascii="Symbol" w:hAnsi="Symbol" w:cs="Arial" w:hint="default"/>
        <w:color w:val="632423"/>
        <w:sz w:val="16"/>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4">
    <w:nsid w:val="50CE325A"/>
    <w:multiLevelType w:val="hybridMultilevel"/>
    <w:tmpl w:val="E61A3454"/>
    <w:lvl w:ilvl="0" w:tplc="8AFC6796">
      <w:numFmt w:val="bullet"/>
      <w:lvlText w:val=""/>
      <w:lvlJc w:val="left"/>
      <w:pPr>
        <w:ind w:left="720" w:hanging="360"/>
      </w:pPr>
      <w:rPr>
        <w:rFonts w:ascii="Symbol" w:hAnsi="Symbol" w:cs="Arial" w:hint="default"/>
        <w:color w:val="00B050"/>
        <w:sz w:val="16"/>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nsid w:val="5215341D"/>
    <w:multiLevelType w:val="hybridMultilevel"/>
    <w:tmpl w:val="41E41FA4"/>
    <w:lvl w:ilvl="0" w:tplc="69042E00">
      <w:start w:val="1"/>
      <w:numFmt w:val="decimal"/>
      <w:lvlText w:val="%1."/>
      <w:lvlJc w:val="left"/>
      <w:pPr>
        <w:ind w:left="927" w:hanging="360"/>
      </w:pPr>
      <w:rPr>
        <w:rFonts w:hint="default"/>
      </w:rPr>
    </w:lvl>
    <w:lvl w:ilvl="1" w:tplc="04020019" w:tentative="1">
      <w:start w:val="1"/>
      <w:numFmt w:val="lowerLetter"/>
      <w:lvlText w:val="%2."/>
      <w:lvlJc w:val="left"/>
      <w:pPr>
        <w:ind w:left="1647" w:hanging="360"/>
      </w:pPr>
    </w:lvl>
    <w:lvl w:ilvl="2" w:tplc="0402001B" w:tentative="1">
      <w:start w:val="1"/>
      <w:numFmt w:val="lowerRoman"/>
      <w:lvlText w:val="%3."/>
      <w:lvlJc w:val="right"/>
      <w:pPr>
        <w:ind w:left="2367" w:hanging="180"/>
      </w:pPr>
    </w:lvl>
    <w:lvl w:ilvl="3" w:tplc="0402000F" w:tentative="1">
      <w:start w:val="1"/>
      <w:numFmt w:val="decimal"/>
      <w:lvlText w:val="%4."/>
      <w:lvlJc w:val="left"/>
      <w:pPr>
        <w:ind w:left="3087" w:hanging="360"/>
      </w:pPr>
    </w:lvl>
    <w:lvl w:ilvl="4" w:tplc="04020019" w:tentative="1">
      <w:start w:val="1"/>
      <w:numFmt w:val="lowerLetter"/>
      <w:lvlText w:val="%5."/>
      <w:lvlJc w:val="left"/>
      <w:pPr>
        <w:ind w:left="3807" w:hanging="360"/>
      </w:pPr>
    </w:lvl>
    <w:lvl w:ilvl="5" w:tplc="0402001B" w:tentative="1">
      <w:start w:val="1"/>
      <w:numFmt w:val="lowerRoman"/>
      <w:lvlText w:val="%6."/>
      <w:lvlJc w:val="right"/>
      <w:pPr>
        <w:ind w:left="4527" w:hanging="180"/>
      </w:pPr>
    </w:lvl>
    <w:lvl w:ilvl="6" w:tplc="0402000F" w:tentative="1">
      <w:start w:val="1"/>
      <w:numFmt w:val="decimal"/>
      <w:lvlText w:val="%7."/>
      <w:lvlJc w:val="left"/>
      <w:pPr>
        <w:ind w:left="5247" w:hanging="360"/>
      </w:pPr>
    </w:lvl>
    <w:lvl w:ilvl="7" w:tplc="04020019" w:tentative="1">
      <w:start w:val="1"/>
      <w:numFmt w:val="lowerLetter"/>
      <w:lvlText w:val="%8."/>
      <w:lvlJc w:val="left"/>
      <w:pPr>
        <w:ind w:left="5967" w:hanging="360"/>
      </w:pPr>
    </w:lvl>
    <w:lvl w:ilvl="8" w:tplc="0402001B" w:tentative="1">
      <w:start w:val="1"/>
      <w:numFmt w:val="lowerRoman"/>
      <w:lvlText w:val="%9."/>
      <w:lvlJc w:val="right"/>
      <w:pPr>
        <w:ind w:left="6687" w:hanging="180"/>
      </w:pPr>
    </w:lvl>
  </w:abstractNum>
  <w:abstractNum w:abstractNumId="26">
    <w:nsid w:val="5342611E"/>
    <w:multiLevelType w:val="hybridMultilevel"/>
    <w:tmpl w:val="F6746D72"/>
    <w:lvl w:ilvl="0" w:tplc="E9121914">
      <w:start w:val="1"/>
      <w:numFmt w:val="bullet"/>
      <w:lvlText w:val=""/>
      <w:lvlJc w:val="left"/>
      <w:pPr>
        <w:ind w:left="720" w:hanging="360"/>
      </w:pPr>
      <w:rPr>
        <w:rFonts w:ascii="Symbol" w:hAnsi="Symbol" w:hint="default"/>
        <w:color w:val="E36C0A"/>
        <w:sz w:val="18"/>
        <w:szCs w:val="36"/>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7">
    <w:nsid w:val="5E164531"/>
    <w:multiLevelType w:val="hybridMultilevel"/>
    <w:tmpl w:val="78BA031A"/>
    <w:lvl w:ilvl="0" w:tplc="04020003">
      <w:start w:val="1"/>
      <w:numFmt w:val="bullet"/>
      <w:lvlText w:val="o"/>
      <w:lvlJc w:val="left"/>
      <w:pPr>
        <w:ind w:left="927" w:hanging="360"/>
      </w:pPr>
      <w:rPr>
        <w:rFonts w:ascii="Courier New" w:hAnsi="Courier New" w:cs="Courier New" w:hint="default"/>
      </w:rPr>
    </w:lvl>
    <w:lvl w:ilvl="1" w:tplc="04020003">
      <w:start w:val="1"/>
      <w:numFmt w:val="bullet"/>
      <w:lvlText w:val="o"/>
      <w:lvlJc w:val="left"/>
      <w:pPr>
        <w:ind w:left="1647" w:hanging="360"/>
      </w:pPr>
      <w:rPr>
        <w:rFonts w:ascii="Courier New" w:hAnsi="Courier New" w:cs="Courier New" w:hint="default"/>
      </w:rPr>
    </w:lvl>
    <w:lvl w:ilvl="2" w:tplc="04020005" w:tentative="1">
      <w:start w:val="1"/>
      <w:numFmt w:val="bullet"/>
      <w:lvlText w:val=""/>
      <w:lvlJc w:val="left"/>
      <w:pPr>
        <w:ind w:left="2367" w:hanging="360"/>
      </w:pPr>
      <w:rPr>
        <w:rFonts w:ascii="Wingdings" w:hAnsi="Wingdings" w:hint="default"/>
      </w:rPr>
    </w:lvl>
    <w:lvl w:ilvl="3" w:tplc="04020001" w:tentative="1">
      <w:start w:val="1"/>
      <w:numFmt w:val="bullet"/>
      <w:lvlText w:val=""/>
      <w:lvlJc w:val="left"/>
      <w:pPr>
        <w:ind w:left="3087" w:hanging="360"/>
      </w:pPr>
      <w:rPr>
        <w:rFonts w:ascii="Symbol" w:hAnsi="Symbol" w:hint="default"/>
      </w:rPr>
    </w:lvl>
    <w:lvl w:ilvl="4" w:tplc="04020003" w:tentative="1">
      <w:start w:val="1"/>
      <w:numFmt w:val="bullet"/>
      <w:lvlText w:val="o"/>
      <w:lvlJc w:val="left"/>
      <w:pPr>
        <w:ind w:left="3807" w:hanging="360"/>
      </w:pPr>
      <w:rPr>
        <w:rFonts w:ascii="Courier New" w:hAnsi="Courier New" w:cs="Courier New" w:hint="default"/>
      </w:rPr>
    </w:lvl>
    <w:lvl w:ilvl="5" w:tplc="04020005" w:tentative="1">
      <w:start w:val="1"/>
      <w:numFmt w:val="bullet"/>
      <w:lvlText w:val=""/>
      <w:lvlJc w:val="left"/>
      <w:pPr>
        <w:ind w:left="4527" w:hanging="360"/>
      </w:pPr>
      <w:rPr>
        <w:rFonts w:ascii="Wingdings" w:hAnsi="Wingdings" w:hint="default"/>
      </w:rPr>
    </w:lvl>
    <w:lvl w:ilvl="6" w:tplc="04020001" w:tentative="1">
      <w:start w:val="1"/>
      <w:numFmt w:val="bullet"/>
      <w:lvlText w:val=""/>
      <w:lvlJc w:val="left"/>
      <w:pPr>
        <w:ind w:left="5247" w:hanging="360"/>
      </w:pPr>
      <w:rPr>
        <w:rFonts w:ascii="Symbol" w:hAnsi="Symbol" w:hint="default"/>
      </w:rPr>
    </w:lvl>
    <w:lvl w:ilvl="7" w:tplc="04020003" w:tentative="1">
      <w:start w:val="1"/>
      <w:numFmt w:val="bullet"/>
      <w:lvlText w:val="o"/>
      <w:lvlJc w:val="left"/>
      <w:pPr>
        <w:ind w:left="5967" w:hanging="360"/>
      </w:pPr>
      <w:rPr>
        <w:rFonts w:ascii="Courier New" w:hAnsi="Courier New" w:cs="Courier New" w:hint="default"/>
      </w:rPr>
    </w:lvl>
    <w:lvl w:ilvl="8" w:tplc="04020005" w:tentative="1">
      <w:start w:val="1"/>
      <w:numFmt w:val="bullet"/>
      <w:lvlText w:val=""/>
      <w:lvlJc w:val="left"/>
      <w:pPr>
        <w:ind w:left="6687" w:hanging="360"/>
      </w:pPr>
      <w:rPr>
        <w:rFonts w:ascii="Wingdings" w:hAnsi="Wingdings" w:hint="default"/>
      </w:rPr>
    </w:lvl>
  </w:abstractNum>
  <w:abstractNum w:abstractNumId="28">
    <w:nsid w:val="655E234E"/>
    <w:multiLevelType w:val="hybridMultilevel"/>
    <w:tmpl w:val="A08A6FBC"/>
    <w:lvl w:ilvl="0" w:tplc="0402000B">
      <w:start w:val="1"/>
      <w:numFmt w:val="bullet"/>
      <w:lvlText w:val=""/>
      <w:lvlJc w:val="left"/>
      <w:pPr>
        <w:tabs>
          <w:tab w:val="num" w:pos="2045"/>
        </w:tabs>
        <w:ind w:left="2045" w:hanging="360"/>
      </w:pPr>
      <w:rPr>
        <w:rFonts w:ascii="Wingdings" w:hAnsi="Wingdings" w:hint="default"/>
        <w:color w:val="632423"/>
        <w:sz w:val="18"/>
      </w:rPr>
    </w:lvl>
    <w:lvl w:ilvl="1" w:tplc="AB125054">
      <w:numFmt w:val="bullet"/>
      <w:lvlText w:val=""/>
      <w:lvlJc w:val="left"/>
      <w:pPr>
        <w:tabs>
          <w:tab w:val="num" w:pos="1440"/>
        </w:tabs>
        <w:ind w:left="1440" w:hanging="360"/>
      </w:pPr>
      <w:rPr>
        <w:rFonts w:ascii="Symbol" w:eastAsia="Times New Roman" w:hAnsi="Symbol" w:cs="Arial" w:hint="default"/>
      </w:rPr>
    </w:lvl>
    <w:lvl w:ilvl="2" w:tplc="FD6A8524" w:tentative="1">
      <w:start w:val="1"/>
      <w:numFmt w:val="bullet"/>
      <w:lvlText w:val=""/>
      <w:lvlJc w:val="left"/>
      <w:pPr>
        <w:tabs>
          <w:tab w:val="num" w:pos="2160"/>
        </w:tabs>
        <w:ind w:left="2160" w:hanging="360"/>
      </w:pPr>
      <w:rPr>
        <w:rFonts w:ascii="Wingdings" w:hAnsi="Wingdings" w:hint="default"/>
      </w:rPr>
    </w:lvl>
    <w:lvl w:ilvl="3" w:tplc="3CC6098C" w:tentative="1">
      <w:start w:val="1"/>
      <w:numFmt w:val="bullet"/>
      <w:lvlText w:val=""/>
      <w:lvlJc w:val="left"/>
      <w:pPr>
        <w:tabs>
          <w:tab w:val="num" w:pos="2880"/>
        </w:tabs>
        <w:ind w:left="2880" w:hanging="360"/>
      </w:pPr>
      <w:rPr>
        <w:rFonts w:ascii="Symbol" w:hAnsi="Symbol" w:hint="default"/>
      </w:rPr>
    </w:lvl>
    <w:lvl w:ilvl="4" w:tplc="BDCCC2BA" w:tentative="1">
      <w:start w:val="1"/>
      <w:numFmt w:val="bullet"/>
      <w:lvlText w:val="o"/>
      <w:lvlJc w:val="left"/>
      <w:pPr>
        <w:tabs>
          <w:tab w:val="num" w:pos="3600"/>
        </w:tabs>
        <w:ind w:left="3600" w:hanging="360"/>
      </w:pPr>
      <w:rPr>
        <w:rFonts w:ascii="Courier New" w:hAnsi="Courier New" w:hint="default"/>
      </w:rPr>
    </w:lvl>
    <w:lvl w:ilvl="5" w:tplc="1616B42E" w:tentative="1">
      <w:start w:val="1"/>
      <w:numFmt w:val="bullet"/>
      <w:lvlText w:val=""/>
      <w:lvlJc w:val="left"/>
      <w:pPr>
        <w:tabs>
          <w:tab w:val="num" w:pos="4320"/>
        </w:tabs>
        <w:ind w:left="4320" w:hanging="360"/>
      </w:pPr>
      <w:rPr>
        <w:rFonts w:ascii="Wingdings" w:hAnsi="Wingdings" w:hint="default"/>
      </w:rPr>
    </w:lvl>
    <w:lvl w:ilvl="6" w:tplc="C70CCC32" w:tentative="1">
      <w:start w:val="1"/>
      <w:numFmt w:val="bullet"/>
      <w:lvlText w:val=""/>
      <w:lvlJc w:val="left"/>
      <w:pPr>
        <w:tabs>
          <w:tab w:val="num" w:pos="5040"/>
        </w:tabs>
        <w:ind w:left="5040" w:hanging="360"/>
      </w:pPr>
      <w:rPr>
        <w:rFonts w:ascii="Symbol" w:hAnsi="Symbol" w:hint="default"/>
      </w:rPr>
    </w:lvl>
    <w:lvl w:ilvl="7" w:tplc="2D06C63A" w:tentative="1">
      <w:start w:val="1"/>
      <w:numFmt w:val="bullet"/>
      <w:lvlText w:val="o"/>
      <w:lvlJc w:val="left"/>
      <w:pPr>
        <w:tabs>
          <w:tab w:val="num" w:pos="5760"/>
        </w:tabs>
        <w:ind w:left="5760" w:hanging="360"/>
      </w:pPr>
      <w:rPr>
        <w:rFonts w:ascii="Courier New" w:hAnsi="Courier New" w:hint="default"/>
      </w:rPr>
    </w:lvl>
    <w:lvl w:ilvl="8" w:tplc="12826718" w:tentative="1">
      <w:start w:val="1"/>
      <w:numFmt w:val="bullet"/>
      <w:lvlText w:val=""/>
      <w:lvlJc w:val="left"/>
      <w:pPr>
        <w:tabs>
          <w:tab w:val="num" w:pos="6480"/>
        </w:tabs>
        <w:ind w:left="6480" w:hanging="360"/>
      </w:pPr>
      <w:rPr>
        <w:rFonts w:ascii="Wingdings" w:hAnsi="Wingdings" w:hint="default"/>
      </w:rPr>
    </w:lvl>
  </w:abstractNum>
  <w:abstractNum w:abstractNumId="29">
    <w:nsid w:val="66825D82"/>
    <w:multiLevelType w:val="hybridMultilevel"/>
    <w:tmpl w:val="F8E89814"/>
    <w:lvl w:ilvl="0" w:tplc="5B728A6C">
      <w:start w:val="1"/>
      <w:numFmt w:val="bullet"/>
      <w:lvlText w:val="•"/>
      <w:lvlJc w:val="left"/>
      <w:pPr>
        <w:ind w:left="1004" w:hanging="360"/>
      </w:pPr>
      <w:rPr>
        <w:rFonts w:ascii="Times New Roman" w:hAnsi="Times New Roman" w:cs="Times New Roman" w:hint="default"/>
        <w:color w:val="E36C0A"/>
        <w:sz w:val="22"/>
      </w:rPr>
    </w:lvl>
    <w:lvl w:ilvl="1" w:tplc="04020003" w:tentative="1">
      <w:start w:val="1"/>
      <w:numFmt w:val="bullet"/>
      <w:lvlText w:val="o"/>
      <w:lvlJc w:val="left"/>
      <w:pPr>
        <w:ind w:left="1724" w:hanging="360"/>
      </w:pPr>
      <w:rPr>
        <w:rFonts w:ascii="Courier New" w:hAnsi="Courier New" w:cs="Courier New" w:hint="default"/>
      </w:rPr>
    </w:lvl>
    <w:lvl w:ilvl="2" w:tplc="04020005" w:tentative="1">
      <w:start w:val="1"/>
      <w:numFmt w:val="bullet"/>
      <w:lvlText w:val=""/>
      <w:lvlJc w:val="left"/>
      <w:pPr>
        <w:ind w:left="2444" w:hanging="360"/>
      </w:pPr>
      <w:rPr>
        <w:rFonts w:ascii="Wingdings" w:hAnsi="Wingdings" w:hint="default"/>
      </w:rPr>
    </w:lvl>
    <w:lvl w:ilvl="3" w:tplc="04020001" w:tentative="1">
      <w:start w:val="1"/>
      <w:numFmt w:val="bullet"/>
      <w:lvlText w:val=""/>
      <w:lvlJc w:val="left"/>
      <w:pPr>
        <w:ind w:left="3164" w:hanging="360"/>
      </w:pPr>
      <w:rPr>
        <w:rFonts w:ascii="Symbol" w:hAnsi="Symbol" w:hint="default"/>
      </w:rPr>
    </w:lvl>
    <w:lvl w:ilvl="4" w:tplc="04020003" w:tentative="1">
      <w:start w:val="1"/>
      <w:numFmt w:val="bullet"/>
      <w:lvlText w:val="o"/>
      <w:lvlJc w:val="left"/>
      <w:pPr>
        <w:ind w:left="3884" w:hanging="360"/>
      </w:pPr>
      <w:rPr>
        <w:rFonts w:ascii="Courier New" w:hAnsi="Courier New" w:cs="Courier New" w:hint="default"/>
      </w:rPr>
    </w:lvl>
    <w:lvl w:ilvl="5" w:tplc="04020005" w:tentative="1">
      <w:start w:val="1"/>
      <w:numFmt w:val="bullet"/>
      <w:lvlText w:val=""/>
      <w:lvlJc w:val="left"/>
      <w:pPr>
        <w:ind w:left="4604" w:hanging="360"/>
      </w:pPr>
      <w:rPr>
        <w:rFonts w:ascii="Wingdings" w:hAnsi="Wingdings" w:hint="default"/>
      </w:rPr>
    </w:lvl>
    <w:lvl w:ilvl="6" w:tplc="04020001" w:tentative="1">
      <w:start w:val="1"/>
      <w:numFmt w:val="bullet"/>
      <w:lvlText w:val=""/>
      <w:lvlJc w:val="left"/>
      <w:pPr>
        <w:ind w:left="5324" w:hanging="360"/>
      </w:pPr>
      <w:rPr>
        <w:rFonts w:ascii="Symbol" w:hAnsi="Symbol" w:hint="default"/>
      </w:rPr>
    </w:lvl>
    <w:lvl w:ilvl="7" w:tplc="04020003" w:tentative="1">
      <w:start w:val="1"/>
      <w:numFmt w:val="bullet"/>
      <w:lvlText w:val="o"/>
      <w:lvlJc w:val="left"/>
      <w:pPr>
        <w:ind w:left="6044" w:hanging="360"/>
      </w:pPr>
      <w:rPr>
        <w:rFonts w:ascii="Courier New" w:hAnsi="Courier New" w:cs="Courier New" w:hint="default"/>
      </w:rPr>
    </w:lvl>
    <w:lvl w:ilvl="8" w:tplc="04020005" w:tentative="1">
      <w:start w:val="1"/>
      <w:numFmt w:val="bullet"/>
      <w:lvlText w:val=""/>
      <w:lvlJc w:val="left"/>
      <w:pPr>
        <w:ind w:left="6764" w:hanging="360"/>
      </w:pPr>
      <w:rPr>
        <w:rFonts w:ascii="Wingdings" w:hAnsi="Wingdings" w:hint="default"/>
      </w:rPr>
    </w:lvl>
  </w:abstractNum>
  <w:abstractNum w:abstractNumId="30">
    <w:nsid w:val="6D8A2895"/>
    <w:multiLevelType w:val="hybridMultilevel"/>
    <w:tmpl w:val="6212C3F2"/>
    <w:lvl w:ilvl="0" w:tplc="CBB46C3E">
      <w:start w:val="1"/>
      <w:numFmt w:val="bullet"/>
      <w:lvlText w:val=""/>
      <w:lvlJc w:val="left"/>
      <w:pPr>
        <w:ind w:left="720" w:hanging="360"/>
      </w:pPr>
      <w:rPr>
        <w:rFonts w:ascii="Wingdings 3" w:hAnsi="Wingdings 3" w:hint="default"/>
        <w:color w:val="E36C0A"/>
        <w:sz w:val="24"/>
        <w:szCs w:val="36"/>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1">
    <w:nsid w:val="6DE373E2"/>
    <w:multiLevelType w:val="hybridMultilevel"/>
    <w:tmpl w:val="ECF4F536"/>
    <w:lvl w:ilvl="0" w:tplc="F466A48A">
      <w:start w:val="1"/>
      <w:numFmt w:val="bullet"/>
      <w:lvlText w:val=""/>
      <w:lvlJc w:val="left"/>
      <w:pPr>
        <w:ind w:left="720" w:hanging="360"/>
      </w:pPr>
      <w:rPr>
        <w:rFonts w:ascii="Wingdings" w:hAnsi="Wingdings" w:hint="default"/>
        <w:color w:val="31849B"/>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2">
    <w:nsid w:val="76F26A1A"/>
    <w:multiLevelType w:val="hybridMultilevel"/>
    <w:tmpl w:val="020A8B68"/>
    <w:lvl w:ilvl="0" w:tplc="CCB85570">
      <w:start w:val="1"/>
      <w:numFmt w:val="decimal"/>
      <w:lvlText w:val="%1."/>
      <w:lvlJc w:val="left"/>
      <w:pPr>
        <w:ind w:left="540" w:hanging="360"/>
      </w:pPr>
      <w:rPr>
        <w:rFonts w:hint="default"/>
      </w:rPr>
    </w:lvl>
    <w:lvl w:ilvl="1" w:tplc="04020019" w:tentative="1">
      <w:start w:val="1"/>
      <w:numFmt w:val="lowerLetter"/>
      <w:lvlText w:val="%2."/>
      <w:lvlJc w:val="left"/>
      <w:pPr>
        <w:ind w:left="1260" w:hanging="360"/>
      </w:pPr>
    </w:lvl>
    <w:lvl w:ilvl="2" w:tplc="0402001B" w:tentative="1">
      <w:start w:val="1"/>
      <w:numFmt w:val="lowerRoman"/>
      <w:lvlText w:val="%3."/>
      <w:lvlJc w:val="right"/>
      <w:pPr>
        <w:ind w:left="1980" w:hanging="180"/>
      </w:pPr>
    </w:lvl>
    <w:lvl w:ilvl="3" w:tplc="0402000F" w:tentative="1">
      <w:start w:val="1"/>
      <w:numFmt w:val="decimal"/>
      <w:lvlText w:val="%4."/>
      <w:lvlJc w:val="left"/>
      <w:pPr>
        <w:ind w:left="2700" w:hanging="360"/>
      </w:pPr>
    </w:lvl>
    <w:lvl w:ilvl="4" w:tplc="04020019" w:tentative="1">
      <w:start w:val="1"/>
      <w:numFmt w:val="lowerLetter"/>
      <w:lvlText w:val="%5."/>
      <w:lvlJc w:val="left"/>
      <w:pPr>
        <w:ind w:left="3420" w:hanging="360"/>
      </w:pPr>
    </w:lvl>
    <w:lvl w:ilvl="5" w:tplc="0402001B" w:tentative="1">
      <w:start w:val="1"/>
      <w:numFmt w:val="lowerRoman"/>
      <w:lvlText w:val="%6."/>
      <w:lvlJc w:val="right"/>
      <w:pPr>
        <w:ind w:left="4140" w:hanging="180"/>
      </w:pPr>
    </w:lvl>
    <w:lvl w:ilvl="6" w:tplc="0402000F" w:tentative="1">
      <w:start w:val="1"/>
      <w:numFmt w:val="decimal"/>
      <w:lvlText w:val="%7."/>
      <w:lvlJc w:val="left"/>
      <w:pPr>
        <w:ind w:left="4860" w:hanging="360"/>
      </w:pPr>
    </w:lvl>
    <w:lvl w:ilvl="7" w:tplc="04020019" w:tentative="1">
      <w:start w:val="1"/>
      <w:numFmt w:val="lowerLetter"/>
      <w:lvlText w:val="%8."/>
      <w:lvlJc w:val="left"/>
      <w:pPr>
        <w:ind w:left="5580" w:hanging="360"/>
      </w:pPr>
    </w:lvl>
    <w:lvl w:ilvl="8" w:tplc="0402001B" w:tentative="1">
      <w:start w:val="1"/>
      <w:numFmt w:val="lowerRoman"/>
      <w:lvlText w:val="%9."/>
      <w:lvlJc w:val="right"/>
      <w:pPr>
        <w:ind w:left="6300" w:hanging="180"/>
      </w:pPr>
    </w:lvl>
  </w:abstractNum>
  <w:abstractNum w:abstractNumId="33">
    <w:nsid w:val="770550F4"/>
    <w:multiLevelType w:val="hybridMultilevel"/>
    <w:tmpl w:val="C0642E9E"/>
    <w:lvl w:ilvl="0" w:tplc="8272F286">
      <w:start w:val="1"/>
      <w:numFmt w:val="bullet"/>
      <w:lvlText w:val=""/>
      <w:lvlJc w:val="left"/>
      <w:pPr>
        <w:ind w:left="720" w:hanging="360"/>
      </w:pPr>
      <w:rPr>
        <w:rFonts w:ascii="Wingdings" w:hAnsi="Wingdings" w:hint="default"/>
        <w:b/>
        <w:i w:val="0"/>
        <w:color w:val="E36C0A"/>
        <w:sz w:val="22"/>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34">
    <w:nsid w:val="7D5E4B78"/>
    <w:multiLevelType w:val="hybridMultilevel"/>
    <w:tmpl w:val="0FA80142"/>
    <w:lvl w:ilvl="0" w:tplc="DE5638C0">
      <w:start w:val="1"/>
      <w:numFmt w:val="bullet"/>
      <w:lvlText w:val=""/>
      <w:lvlJc w:val="left"/>
      <w:pPr>
        <w:ind w:left="1495" w:hanging="360"/>
      </w:pPr>
      <w:rPr>
        <w:rFonts w:ascii="Wingdings 2" w:hAnsi="Wingdings 2" w:hint="default"/>
        <w:b/>
        <w:i w:val="0"/>
        <w:color w:val="E36C0A"/>
        <w:sz w:val="28"/>
        <w:szCs w:val="24"/>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num w:numId="1">
    <w:abstractNumId w:val="20"/>
  </w:num>
  <w:num w:numId="2">
    <w:abstractNumId w:val="12"/>
  </w:num>
  <w:num w:numId="3">
    <w:abstractNumId w:val="16"/>
  </w:num>
  <w:num w:numId="4">
    <w:abstractNumId w:val="17"/>
  </w:num>
  <w:num w:numId="5">
    <w:abstractNumId w:val="9"/>
  </w:num>
  <w:num w:numId="6">
    <w:abstractNumId w:val="5"/>
  </w:num>
  <w:num w:numId="7">
    <w:abstractNumId w:val="34"/>
  </w:num>
  <w:num w:numId="8">
    <w:abstractNumId w:val="26"/>
  </w:num>
  <w:num w:numId="9">
    <w:abstractNumId w:val="3"/>
  </w:num>
  <w:num w:numId="10">
    <w:abstractNumId w:val="1"/>
  </w:num>
  <w:num w:numId="11">
    <w:abstractNumId w:val="23"/>
  </w:num>
  <w:num w:numId="12">
    <w:abstractNumId w:val="4"/>
  </w:num>
  <w:num w:numId="13">
    <w:abstractNumId w:val="32"/>
  </w:num>
  <w:num w:numId="14">
    <w:abstractNumId w:val="27"/>
  </w:num>
  <w:num w:numId="15">
    <w:abstractNumId w:val="28"/>
  </w:num>
  <w:num w:numId="16">
    <w:abstractNumId w:val="0"/>
  </w:num>
  <w:num w:numId="17">
    <w:abstractNumId w:val="7"/>
  </w:num>
  <w:num w:numId="18">
    <w:abstractNumId w:val="22"/>
  </w:num>
  <w:num w:numId="19">
    <w:abstractNumId w:val="33"/>
  </w:num>
  <w:num w:numId="20">
    <w:abstractNumId w:val="30"/>
  </w:num>
  <w:num w:numId="21">
    <w:abstractNumId w:val="18"/>
  </w:num>
  <w:num w:numId="22">
    <w:abstractNumId w:val="21"/>
  </w:num>
  <w:num w:numId="23">
    <w:abstractNumId w:val="6"/>
  </w:num>
  <w:num w:numId="24">
    <w:abstractNumId w:val="13"/>
  </w:num>
  <w:num w:numId="25">
    <w:abstractNumId w:val="11"/>
  </w:num>
  <w:num w:numId="26">
    <w:abstractNumId w:val="8"/>
  </w:num>
  <w:num w:numId="27">
    <w:abstractNumId w:val="25"/>
  </w:num>
  <w:num w:numId="28">
    <w:abstractNumId w:val="29"/>
  </w:num>
  <w:num w:numId="29">
    <w:abstractNumId w:val="15"/>
  </w:num>
  <w:num w:numId="30">
    <w:abstractNumId w:val="19"/>
  </w:num>
  <w:num w:numId="31">
    <w:abstractNumId w:val="14"/>
  </w:num>
  <w:num w:numId="32">
    <w:abstractNumId w:val="10"/>
  </w:num>
  <w:num w:numId="33">
    <w:abstractNumId w:val="24"/>
  </w:num>
  <w:num w:numId="34">
    <w:abstractNumId w:val="31"/>
  </w:num>
  <w:num w:numId="35">
    <w:abstractNumId w:val="2"/>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A20"/>
    <w:rsid w:val="00001333"/>
    <w:rsid w:val="000019E3"/>
    <w:rsid w:val="00001D4B"/>
    <w:rsid w:val="00001E76"/>
    <w:rsid w:val="000021FD"/>
    <w:rsid w:val="0000225B"/>
    <w:rsid w:val="00002532"/>
    <w:rsid w:val="000025DD"/>
    <w:rsid w:val="00002B8A"/>
    <w:rsid w:val="00002FAD"/>
    <w:rsid w:val="00003431"/>
    <w:rsid w:val="000038AA"/>
    <w:rsid w:val="00003953"/>
    <w:rsid w:val="00004429"/>
    <w:rsid w:val="0000458D"/>
    <w:rsid w:val="0000474B"/>
    <w:rsid w:val="00004A22"/>
    <w:rsid w:val="00004E7B"/>
    <w:rsid w:val="00004EDE"/>
    <w:rsid w:val="000055D4"/>
    <w:rsid w:val="00005723"/>
    <w:rsid w:val="000057C4"/>
    <w:rsid w:val="000060D2"/>
    <w:rsid w:val="00006BA7"/>
    <w:rsid w:val="000070E5"/>
    <w:rsid w:val="00007270"/>
    <w:rsid w:val="000073FF"/>
    <w:rsid w:val="0000768C"/>
    <w:rsid w:val="000105A4"/>
    <w:rsid w:val="00010D45"/>
    <w:rsid w:val="00010EF7"/>
    <w:rsid w:val="00011339"/>
    <w:rsid w:val="00011885"/>
    <w:rsid w:val="00011B2F"/>
    <w:rsid w:val="00012151"/>
    <w:rsid w:val="000122D3"/>
    <w:rsid w:val="000123BE"/>
    <w:rsid w:val="000132D4"/>
    <w:rsid w:val="0001368D"/>
    <w:rsid w:val="000136C3"/>
    <w:rsid w:val="00013B83"/>
    <w:rsid w:val="0001424C"/>
    <w:rsid w:val="0001484C"/>
    <w:rsid w:val="00014B51"/>
    <w:rsid w:val="00015CDA"/>
    <w:rsid w:val="00016A2F"/>
    <w:rsid w:val="000172DB"/>
    <w:rsid w:val="00017AED"/>
    <w:rsid w:val="00017CC5"/>
    <w:rsid w:val="00017F65"/>
    <w:rsid w:val="000206FC"/>
    <w:rsid w:val="00020CCA"/>
    <w:rsid w:val="00020EAA"/>
    <w:rsid w:val="00020FCA"/>
    <w:rsid w:val="000210C3"/>
    <w:rsid w:val="00021278"/>
    <w:rsid w:val="0002127E"/>
    <w:rsid w:val="000215EC"/>
    <w:rsid w:val="00021733"/>
    <w:rsid w:val="000217E6"/>
    <w:rsid w:val="0002196A"/>
    <w:rsid w:val="00021EBC"/>
    <w:rsid w:val="00021F79"/>
    <w:rsid w:val="000220CE"/>
    <w:rsid w:val="00022A38"/>
    <w:rsid w:val="00022BC9"/>
    <w:rsid w:val="00022D08"/>
    <w:rsid w:val="00023109"/>
    <w:rsid w:val="0002325F"/>
    <w:rsid w:val="0002338B"/>
    <w:rsid w:val="000233A6"/>
    <w:rsid w:val="0002404D"/>
    <w:rsid w:val="0002482A"/>
    <w:rsid w:val="000248AB"/>
    <w:rsid w:val="000249A9"/>
    <w:rsid w:val="00025155"/>
    <w:rsid w:val="000256D6"/>
    <w:rsid w:val="00025EDD"/>
    <w:rsid w:val="000269D2"/>
    <w:rsid w:val="00026C9D"/>
    <w:rsid w:val="00026CC9"/>
    <w:rsid w:val="00027AD9"/>
    <w:rsid w:val="00030B55"/>
    <w:rsid w:val="00030B5C"/>
    <w:rsid w:val="00030E4B"/>
    <w:rsid w:val="000317E7"/>
    <w:rsid w:val="00031955"/>
    <w:rsid w:val="00031D14"/>
    <w:rsid w:val="000323A5"/>
    <w:rsid w:val="000327E0"/>
    <w:rsid w:val="0003321F"/>
    <w:rsid w:val="000335D9"/>
    <w:rsid w:val="00033BBA"/>
    <w:rsid w:val="00033CEB"/>
    <w:rsid w:val="00033D38"/>
    <w:rsid w:val="00034BF0"/>
    <w:rsid w:val="0003531D"/>
    <w:rsid w:val="0003562C"/>
    <w:rsid w:val="00035937"/>
    <w:rsid w:val="00035F73"/>
    <w:rsid w:val="00036E2C"/>
    <w:rsid w:val="00037AB1"/>
    <w:rsid w:val="00040191"/>
    <w:rsid w:val="000404E8"/>
    <w:rsid w:val="00040C7E"/>
    <w:rsid w:val="00041650"/>
    <w:rsid w:val="00041734"/>
    <w:rsid w:val="00041F73"/>
    <w:rsid w:val="00042067"/>
    <w:rsid w:val="000420C7"/>
    <w:rsid w:val="000426A7"/>
    <w:rsid w:val="000428FC"/>
    <w:rsid w:val="00042B66"/>
    <w:rsid w:val="00042BEE"/>
    <w:rsid w:val="00044395"/>
    <w:rsid w:val="000447B5"/>
    <w:rsid w:val="00044851"/>
    <w:rsid w:val="00044996"/>
    <w:rsid w:val="00045117"/>
    <w:rsid w:val="000451E7"/>
    <w:rsid w:val="0004582C"/>
    <w:rsid w:val="00045833"/>
    <w:rsid w:val="00045C60"/>
    <w:rsid w:val="00045E10"/>
    <w:rsid w:val="00047168"/>
    <w:rsid w:val="000475C2"/>
    <w:rsid w:val="0004769F"/>
    <w:rsid w:val="00047D27"/>
    <w:rsid w:val="00047D4F"/>
    <w:rsid w:val="00047DF3"/>
    <w:rsid w:val="00050144"/>
    <w:rsid w:val="000505B3"/>
    <w:rsid w:val="000506F6"/>
    <w:rsid w:val="0005088A"/>
    <w:rsid w:val="000509BA"/>
    <w:rsid w:val="00050A9C"/>
    <w:rsid w:val="00050D91"/>
    <w:rsid w:val="00050F2F"/>
    <w:rsid w:val="000517CD"/>
    <w:rsid w:val="000517E6"/>
    <w:rsid w:val="00051D52"/>
    <w:rsid w:val="00051F7C"/>
    <w:rsid w:val="00051FC4"/>
    <w:rsid w:val="00052170"/>
    <w:rsid w:val="0005285E"/>
    <w:rsid w:val="00052A72"/>
    <w:rsid w:val="0005308E"/>
    <w:rsid w:val="00053295"/>
    <w:rsid w:val="00053642"/>
    <w:rsid w:val="00053921"/>
    <w:rsid w:val="0005462D"/>
    <w:rsid w:val="00055086"/>
    <w:rsid w:val="0005515A"/>
    <w:rsid w:val="00055434"/>
    <w:rsid w:val="000569A3"/>
    <w:rsid w:val="00056A2F"/>
    <w:rsid w:val="00056B0A"/>
    <w:rsid w:val="00056B92"/>
    <w:rsid w:val="00056E94"/>
    <w:rsid w:val="00056F66"/>
    <w:rsid w:val="00056FEF"/>
    <w:rsid w:val="00057386"/>
    <w:rsid w:val="000578C2"/>
    <w:rsid w:val="00057978"/>
    <w:rsid w:val="000600C8"/>
    <w:rsid w:val="0006069F"/>
    <w:rsid w:val="00060BA0"/>
    <w:rsid w:val="000610DD"/>
    <w:rsid w:val="00061F8A"/>
    <w:rsid w:val="00061FA0"/>
    <w:rsid w:val="000620E5"/>
    <w:rsid w:val="000624BE"/>
    <w:rsid w:val="00062534"/>
    <w:rsid w:val="000625D1"/>
    <w:rsid w:val="00062986"/>
    <w:rsid w:val="00062C22"/>
    <w:rsid w:val="0006409B"/>
    <w:rsid w:val="00064A44"/>
    <w:rsid w:val="00064CE1"/>
    <w:rsid w:val="000650D6"/>
    <w:rsid w:val="000650FE"/>
    <w:rsid w:val="00065175"/>
    <w:rsid w:val="0006560C"/>
    <w:rsid w:val="00065638"/>
    <w:rsid w:val="00065C7C"/>
    <w:rsid w:val="000663DB"/>
    <w:rsid w:val="000663DE"/>
    <w:rsid w:val="000665FD"/>
    <w:rsid w:val="00066767"/>
    <w:rsid w:val="00066AC0"/>
    <w:rsid w:val="00067224"/>
    <w:rsid w:val="00070118"/>
    <w:rsid w:val="000704CB"/>
    <w:rsid w:val="000717D5"/>
    <w:rsid w:val="000717E4"/>
    <w:rsid w:val="00071DA1"/>
    <w:rsid w:val="00071FB3"/>
    <w:rsid w:val="00072919"/>
    <w:rsid w:val="00073EBA"/>
    <w:rsid w:val="000747B1"/>
    <w:rsid w:val="00074C2D"/>
    <w:rsid w:val="00075D1E"/>
    <w:rsid w:val="000770CE"/>
    <w:rsid w:val="00077150"/>
    <w:rsid w:val="000772A8"/>
    <w:rsid w:val="000801A2"/>
    <w:rsid w:val="0008021C"/>
    <w:rsid w:val="00080412"/>
    <w:rsid w:val="0008078F"/>
    <w:rsid w:val="00080870"/>
    <w:rsid w:val="00081596"/>
    <w:rsid w:val="00081BD9"/>
    <w:rsid w:val="00081EBD"/>
    <w:rsid w:val="00082777"/>
    <w:rsid w:val="000827F5"/>
    <w:rsid w:val="00082949"/>
    <w:rsid w:val="00082B64"/>
    <w:rsid w:val="00083783"/>
    <w:rsid w:val="00083F4E"/>
    <w:rsid w:val="00084A7D"/>
    <w:rsid w:val="00084BC8"/>
    <w:rsid w:val="00084D55"/>
    <w:rsid w:val="00085E21"/>
    <w:rsid w:val="000863FB"/>
    <w:rsid w:val="00086FDA"/>
    <w:rsid w:val="00087B3C"/>
    <w:rsid w:val="0009049A"/>
    <w:rsid w:val="0009054A"/>
    <w:rsid w:val="00090EBB"/>
    <w:rsid w:val="00090FC4"/>
    <w:rsid w:val="000911D5"/>
    <w:rsid w:val="00092473"/>
    <w:rsid w:val="0009262D"/>
    <w:rsid w:val="00092778"/>
    <w:rsid w:val="00092E89"/>
    <w:rsid w:val="00093389"/>
    <w:rsid w:val="00093BDA"/>
    <w:rsid w:val="00094602"/>
    <w:rsid w:val="00094BAD"/>
    <w:rsid w:val="00094E9A"/>
    <w:rsid w:val="000953C8"/>
    <w:rsid w:val="000957FB"/>
    <w:rsid w:val="00095DDF"/>
    <w:rsid w:val="00095E57"/>
    <w:rsid w:val="00096141"/>
    <w:rsid w:val="000961EC"/>
    <w:rsid w:val="00096811"/>
    <w:rsid w:val="000968BE"/>
    <w:rsid w:val="00096A7C"/>
    <w:rsid w:val="00096FF4"/>
    <w:rsid w:val="00097579"/>
    <w:rsid w:val="000A00E4"/>
    <w:rsid w:val="000A18DE"/>
    <w:rsid w:val="000A1CAB"/>
    <w:rsid w:val="000A2429"/>
    <w:rsid w:val="000A2755"/>
    <w:rsid w:val="000A3C87"/>
    <w:rsid w:val="000A3D21"/>
    <w:rsid w:val="000A3FF0"/>
    <w:rsid w:val="000A4977"/>
    <w:rsid w:val="000A497E"/>
    <w:rsid w:val="000A532F"/>
    <w:rsid w:val="000A5C34"/>
    <w:rsid w:val="000A62CE"/>
    <w:rsid w:val="000A63A0"/>
    <w:rsid w:val="000A738A"/>
    <w:rsid w:val="000A7749"/>
    <w:rsid w:val="000A7773"/>
    <w:rsid w:val="000B09AC"/>
    <w:rsid w:val="000B0BA9"/>
    <w:rsid w:val="000B0C56"/>
    <w:rsid w:val="000B115E"/>
    <w:rsid w:val="000B18F0"/>
    <w:rsid w:val="000B1EC8"/>
    <w:rsid w:val="000B21B4"/>
    <w:rsid w:val="000B22B7"/>
    <w:rsid w:val="000B26A8"/>
    <w:rsid w:val="000B31C6"/>
    <w:rsid w:val="000B3AA7"/>
    <w:rsid w:val="000B3CF2"/>
    <w:rsid w:val="000B3D41"/>
    <w:rsid w:val="000B4089"/>
    <w:rsid w:val="000B4382"/>
    <w:rsid w:val="000B45AE"/>
    <w:rsid w:val="000B46AD"/>
    <w:rsid w:val="000B4755"/>
    <w:rsid w:val="000B5411"/>
    <w:rsid w:val="000B5617"/>
    <w:rsid w:val="000B57A7"/>
    <w:rsid w:val="000B57F9"/>
    <w:rsid w:val="000B662B"/>
    <w:rsid w:val="000B669A"/>
    <w:rsid w:val="000B682C"/>
    <w:rsid w:val="000B6BAE"/>
    <w:rsid w:val="000B6C12"/>
    <w:rsid w:val="000B726F"/>
    <w:rsid w:val="000B7716"/>
    <w:rsid w:val="000B775D"/>
    <w:rsid w:val="000C01DC"/>
    <w:rsid w:val="000C0297"/>
    <w:rsid w:val="000C0337"/>
    <w:rsid w:val="000C0830"/>
    <w:rsid w:val="000C10E5"/>
    <w:rsid w:val="000C1590"/>
    <w:rsid w:val="000C165E"/>
    <w:rsid w:val="000C1817"/>
    <w:rsid w:val="000C1CF0"/>
    <w:rsid w:val="000C2315"/>
    <w:rsid w:val="000C2415"/>
    <w:rsid w:val="000C2419"/>
    <w:rsid w:val="000C29C0"/>
    <w:rsid w:val="000C3025"/>
    <w:rsid w:val="000C39E1"/>
    <w:rsid w:val="000C3AB1"/>
    <w:rsid w:val="000C3FC2"/>
    <w:rsid w:val="000C3FF1"/>
    <w:rsid w:val="000C4156"/>
    <w:rsid w:val="000C4C02"/>
    <w:rsid w:val="000C4EA0"/>
    <w:rsid w:val="000C581E"/>
    <w:rsid w:val="000C5B08"/>
    <w:rsid w:val="000C6535"/>
    <w:rsid w:val="000C6918"/>
    <w:rsid w:val="000C6AF9"/>
    <w:rsid w:val="000C6C41"/>
    <w:rsid w:val="000C6FE9"/>
    <w:rsid w:val="000C7103"/>
    <w:rsid w:val="000C726F"/>
    <w:rsid w:val="000C76A9"/>
    <w:rsid w:val="000C78A4"/>
    <w:rsid w:val="000C78FD"/>
    <w:rsid w:val="000C7934"/>
    <w:rsid w:val="000C7B63"/>
    <w:rsid w:val="000D001B"/>
    <w:rsid w:val="000D0D99"/>
    <w:rsid w:val="000D18CB"/>
    <w:rsid w:val="000D1DFF"/>
    <w:rsid w:val="000D1F1B"/>
    <w:rsid w:val="000D207D"/>
    <w:rsid w:val="000D2B09"/>
    <w:rsid w:val="000D2BDA"/>
    <w:rsid w:val="000D2CD2"/>
    <w:rsid w:val="000D2EAB"/>
    <w:rsid w:val="000D3008"/>
    <w:rsid w:val="000D31C9"/>
    <w:rsid w:val="000D3533"/>
    <w:rsid w:val="000D37A1"/>
    <w:rsid w:val="000D3ECF"/>
    <w:rsid w:val="000D3FE9"/>
    <w:rsid w:val="000D4887"/>
    <w:rsid w:val="000D4F11"/>
    <w:rsid w:val="000D50FB"/>
    <w:rsid w:val="000D5370"/>
    <w:rsid w:val="000D55FF"/>
    <w:rsid w:val="000D56F1"/>
    <w:rsid w:val="000D59C7"/>
    <w:rsid w:val="000D64A8"/>
    <w:rsid w:val="000D652A"/>
    <w:rsid w:val="000D71FC"/>
    <w:rsid w:val="000D7685"/>
    <w:rsid w:val="000D7A56"/>
    <w:rsid w:val="000D7C05"/>
    <w:rsid w:val="000E0313"/>
    <w:rsid w:val="000E170A"/>
    <w:rsid w:val="000E185F"/>
    <w:rsid w:val="000E2332"/>
    <w:rsid w:val="000E2ACF"/>
    <w:rsid w:val="000E2C6D"/>
    <w:rsid w:val="000E35F3"/>
    <w:rsid w:val="000E3649"/>
    <w:rsid w:val="000E3692"/>
    <w:rsid w:val="000E3A8C"/>
    <w:rsid w:val="000E3C63"/>
    <w:rsid w:val="000E3FB9"/>
    <w:rsid w:val="000E437D"/>
    <w:rsid w:val="000E4500"/>
    <w:rsid w:val="000E467C"/>
    <w:rsid w:val="000E4C13"/>
    <w:rsid w:val="000E50C8"/>
    <w:rsid w:val="000E547B"/>
    <w:rsid w:val="000E55EB"/>
    <w:rsid w:val="000E57A5"/>
    <w:rsid w:val="000E58F0"/>
    <w:rsid w:val="000E5BE1"/>
    <w:rsid w:val="000E61EF"/>
    <w:rsid w:val="000E6D3D"/>
    <w:rsid w:val="000E731A"/>
    <w:rsid w:val="000E75D7"/>
    <w:rsid w:val="000E7BC3"/>
    <w:rsid w:val="000F0320"/>
    <w:rsid w:val="000F148A"/>
    <w:rsid w:val="000F16DD"/>
    <w:rsid w:val="000F17D4"/>
    <w:rsid w:val="000F21F8"/>
    <w:rsid w:val="000F251D"/>
    <w:rsid w:val="000F291A"/>
    <w:rsid w:val="000F2E37"/>
    <w:rsid w:val="000F2EC0"/>
    <w:rsid w:val="000F322D"/>
    <w:rsid w:val="000F3568"/>
    <w:rsid w:val="000F36D8"/>
    <w:rsid w:val="000F3B75"/>
    <w:rsid w:val="000F3DBD"/>
    <w:rsid w:val="000F454F"/>
    <w:rsid w:val="000F480E"/>
    <w:rsid w:val="000F4938"/>
    <w:rsid w:val="000F4B9D"/>
    <w:rsid w:val="000F52D2"/>
    <w:rsid w:val="000F55C7"/>
    <w:rsid w:val="000F5FEA"/>
    <w:rsid w:val="000F6A31"/>
    <w:rsid w:val="000F708F"/>
    <w:rsid w:val="000F7180"/>
    <w:rsid w:val="000F7509"/>
    <w:rsid w:val="000F7533"/>
    <w:rsid w:val="000F7811"/>
    <w:rsid w:val="000F79E8"/>
    <w:rsid w:val="000F7D5E"/>
    <w:rsid w:val="001009DB"/>
    <w:rsid w:val="00100CEE"/>
    <w:rsid w:val="0010118B"/>
    <w:rsid w:val="00101840"/>
    <w:rsid w:val="00101BF0"/>
    <w:rsid w:val="0010204F"/>
    <w:rsid w:val="0010224C"/>
    <w:rsid w:val="00102761"/>
    <w:rsid w:val="00102813"/>
    <w:rsid w:val="00102A8F"/>
    <w:rsid w:val="00102B7B"/>
    <w:rsid w:val="00102BA9"/>
    <w:rsid w:val="00103447"/>
    <w:rsid w:val="0010393F"/>
    <w:rsid w:val="0010464A"/>
    <w:rsid w:val="00104C31"/>
    <w:rsid w:val="0010564E"/>
    <w:rsid w:val="00105A01"/>
    <w:rsid w:val="00105B51"/>
    <w:rsid w:val="00105D2B"/>
    <w:rsid w:val="00106208"/>
    <w:rsid w:val="00106D4C"/>
    <w:rsid w:val="00106F82"/>
    <w:rsid w:val="001072E9"/>
    <w:rsid w:val="001100AF"/>
    <w:rsid w:val="00110129"/>
    <w:rsid w:val="001101C2"/>
    <w:rsid w:val="001103C1"/>
    <w:rsid w:val="00110519"/>
    <w:rsid w:val="001105AE"/>
    <w:rsid w:val="00110683"/>
    <w:rsid w:val="0011093D"/>
    <w:rsid w:val="001109B8"/>
    <w:rsid w:val="00110FAE"/>
    <w:rsid w:val="00111208"/>
    <w:rsid w:val="00111A67"/>
    <w:rsid w:val="00111DCD"/>
    <w:rsid w:val="001121B5"/>
    <w:rsid w:val="00112371"/>
    <w:rsid w:val="00112A7E"/>
    <w:rsid w:val="001136C7"/>
    <w:rsid w:val="00113E3B"/>
    <w:rsid w:val="0011421D"/>
    <w:rsid w:val="00114311"/>
    <w:rsid w:val="0011445F"/>
    <w:rsid w:val="001148DB"/>
    <w:rsid w:val="001152E7"/>
    <w:rsid w:val="00116114"/>
    <w:rsid w:val="001162E1"/>
    <w:rsid w:val="0011630E"/>
    <w:rsid w:val="00116686"/>
    <w:rsid w:val="00117726"/>
    <w:rsid w:val="001178A2"/>
    <w:rsid w:val="00117C67"/>
    <w:rsid w:val="00120059"/>
    <w:rsid w:val="001200DB"/>
    <w:rsid w:val="001201F6"/>
    <w:rsid w:val="00120412"/>
    <w:rsid w:val="00121226"/>
    <w:rsid w:val="0012129B"/>
    <w:rsid w:val="00121483"/>
    <w:rsid w:val="0012148F"/>
    <w:rsid w:val="00122192"/>
    <w:rsid w:val="00122532"/>
    <w:rsid w:val="00122656"/>
    <w:rsid w:val="00122B6E"/>
    <w:rsid w:val="00122FC4"/>
    <w:rsid w:val="00123496"/>
    <w:rsid w:val="00123645"/>
    <w:rsid w:val="00123ACC"/>
    <w:rsid w:val="00123B87"/>
    <w:rsid w:val="00123D3F"/>
    <w:rsid w:val="00124C7A"/>
    <w:rsid w:val="00125448"/>
    <w:rsid w:val="00125864"/>
    <w:rsid w:val="00125CFA"/>
    <w:rsid w:val="0012643A"/>
    <w:rsid w:val="00127A22"/>
    <w:rsid w:val="00127BE3"/>
    <w:rsid w:val="00127CEC"/>
    <w:rsid w:val="00130342"/>
    <w:rsid w:val="00130B37"/>
    <w:rsid w:val="00131889"/>
    <w:rsid w:val="00131A9F"/>
    <w:rsid w:val="001326DE"/>
    <w:rsid w:val="00132EFA"/>
    <w:rsid w:val="00133342"/>
    <w:rsid w:val="001333BF"/>
    <w:rsid w:val="00133541"/>
    <w:rsid w:val="00134AE9"/>
    <w:rsid w:val="00134CFE"/>
    <w:rsid w:val="00135B6B"/>
    <w:rsid w:val="00136945"/>
    <w:rsid w:val="0013747D"/>
    <w:rsid w:val="00137CE1"/>
    <w:rsid w:val="00140483"/>
    <w:rsid w:val="001407E1"/>
    <w:rsid w:val="00140E4B"/>
    <w:rsid w:val="00141881"/>
    <w:rsid w:val="00141BFA"/>
    <w:rsid w:val="00142A26"/>
    <w:rsid w:val="00142A31"/>
    <w:rsid w:val="00142CA2"/>
    <w:rsid w:val="001431E0"/>
    <w:rsid w:val="00143641"/>
    <w:rsid w:val="0014427D"/>
    <w:rsid w:val="0014524E"/>
    <w:rsid w:val="001452AD"/>
    <w:rsid w:val="0014577D"/>
    <w:rsid w:val="001462B5"/>
    <w:rsid w:val="0014656A"/>
    <w:rsid w:val="0014674F"/>
    <w:rsid w:val="00147182"/>
    <w:rsid w:val="001475C8"/>
    <w:rsid w:val="001478B3"/>
    <w:rsid w:val="001478ED"/>
    <w:rsid w:val="00147CC2"/>
    <w:rsid w:val="001501A2"/>
    <w:rsid w:val="001507D6"/>
    <w:rsid w:val="001507DC"/>
    <w:rsid w:val="00151691"/>
    <w:rsid w:val="00151F87"/>
    <w:rsid w:val="001525B3"/>
    <w:rsid w:val="00152816"/>
    <w:rsid w:val="00152E67"/>
    <w:rsid w:val="00153959"/>
    <w:rsid w:val="00153C88"/>
    <w:rsid w:val="00154469"/>
    <w:rsid w:val="0015476E"/>
    <w:rsid w:val="001548C1"/>
    <w:rsid w:val="00155ADD"/>
    <w:rsid w:val="0015648F"/>
    <w:rsid w:val="00156552"/>
    <w:rsid w:val="001574E4"/>
    <w:rsid w:val="001577DE"/>
    <w:rsid w:val="00157E5A"/>
    <w:rsid w:val="00157FB0"/>
    <w:rsid w:val="00160264"/>
    <w:rsid w:val="00160A49"/>
    <w:rsid w:val="001611A0"/>
    <w:rsid w:val="0016138D"/>
    <w:rsid w:val="001614F5"/>
    <w:rsid w:val="00161814"/>
    <w:rsid w:val="00161C2D"/>
    <w:rsid w:val="00162813"/>
    <w:rsid w:val="001629B2"/>
    <w:rsid w:val="00162BE3"/>
    <w:rsid w:val="00162D97"/>
    <w:rsid w:val="00162F85"/>
    <w:rsid w:val="00163101"/>
    <w:rsid w:val="00163778"/>
    <w:rsid w:val="00163EC2"/>
    <w:rsid w:val="00164295"/>
    <w:rsid w:val="0016497A"/>
    <w:rsid w:val="001649CE"/>
    <w:rsid w:val="00164C29"/>
    <w:rsid w:val="00164C6F"/>
    <w:rsid w:val="00164E09"/>
    <w:rsid w:val="001650C2"/>
    <w:rsid w:val="00165C4E"/>
    <w:rsid w:val="00165D86"/>
    <w:rsid w:val="001665BD"/>
    <w:rsid w:val="001666D5"/>
    <w:rsid w:val="001666EE"/>
    <w:rsid w:val="00166CBE"/>
    <w:rsid w:val="00166D37"/>
    <w:rsid w:val="00166E92"/>
    <w:rsid w:val="00167003"/>
    <w:rsid w:val="00167303"/>
    <w:rsid w:val="0016741E"/>
    <w:rsid w:val="00167A6E"/>
    <w:rsid w:val="00167B68"/>
    <w:rsid w:val="00167C9D"/>
    <w:rsid w:val="00167D53"/>
    <w:rsid w:val="00167DE9"/>
    <w:rsid w:val="00170474"/>
    <w:rsid w:val="0017062A"/>
    <w:rsid w:val="0017095E"/>
    <w:rsid w:val="00170A82"/>
    <w:rsid w:val="00171677"/>
    <w:rsid w:val="0017273C"/>
    <w:rsid w:val="00172D40"/>
    <w:rsid w:val="00172DF6"/>
    <w:rsid w:val="00173BA8"/>
    <w:rsid w:val="00173C8E"/>
    <w:rsid w:val="00174134"/>
    <w:rsid w:val="001742CE"/>
    <w:rsid w:val="00174F99"/>
    <w:rsid w:val="00175C6D"/>
    <w:rsid w:val="001760FD"/>
    <w:rsid w:val="0017614A"/>
    <w:rsid w:val="00176AE6"/>
    <w:rsid w:val="00176AF2"/>
    <w:rsid w:val="00176E54"/>
    <w:rsid w:val="00177156"/>
    <w:rsid w:val="00177813"/>
    <w:rsid w:val="00177CA5"/>
    <w:rsid w:val="00177CCE"/>
    <w:rsid w:val="00177F2E"/>
    <w:rsid w:val="0018079A"/>
    <w:rsid w:val="00180868"/>
    <w:rsid w:val="00180879"/>
    <w:rsid w:val="00180D3B"/>
    <w:rsid w:val="001812E6"/>
    <w:rsid w:val="001814E0"/>
    <w:rsid w:val="0018218B"/>
    <w:rsid w:val="00182463"/>
    <w:rsid w:val="00182B06"/>
    <w:rsid w:val="00182BA9"/>
    <w:rsid w:val="00183295"/>
    <w:rsid w:val="00183438"/>
    <w:rsid w:val="001836DE"/>
    <w:rsid w:val="00183A0C"/>
    <w:rsid w:val="00183AC9"/>
    <w:rsid w:val="00183FF5"/>
    <w:rsid w:val="00184448"/>
    <w:rsid w:val="00184467"/>
    <w:rsid w:val="00184CB4"/>
    <w:rsid w:val="00184FAB"/>
    <w:rsid w:val="001851A8"/>
    <w:rsid w:val="001858C2"/>
    <w:rsid w:val="00186092"/>
    <w:rsid w:val="00186564"/>
    <w:rsid w:val="00186692"/>
    <w:rsid w:val="00186D2A"/>
    <w:rsid w:val="001906CE"/>
    <w:rsid w:val="00190CC6"/>
    <w:rsid w:val="00190D71"/>
    <w:rsid w:val="00190F4F"/>
    <w:rsid w:val="00191434"/>
    <w:rsid w:val="00192CDF"/>
    <w:rsid w:val="00193001"/>
    <w:rsid w:val="00193536"/>
    <w:rsid w:val="001937DA"/>
    <w:rsid w:val="00193F0F"/>
    <w:rsid w:val="001954B4"/>
    <w:rsid w:val="00195BD2"/>
    <w:rsid w:val="00195D5D"/>
    <w:rsid w:val="00195FE2"/>
    <w:rsid w:val="0019696E"/>
    <w:rsid w:val="00196B34"/>
    <w:rsid w:val="001973F2"/>
    <w:rsid w:val="0019762D"/>
    <w:rsid w:val="001979AB"/>
    <w:rsid w:val="001A02D4"/>
    <w:rsid w:val="001A02F2"/>
    <w:rsid w:val="001A03E6"/>
    <w:rsid w:val="001A048B"/>
    <w:rsid w:val="001A04E3"/>
    <w:rsid w:val="001A08FC"/>
    <w:rsid w:val="001A0FB1"/>
    <w:rsid w:val="001A10AE"/>
    <w:rsid w:val="001A12F6"/>
    <w:rsid w:val="001A1444"/>
    <w:rsid w:val="001A20A0"/>
    <w:rsid w:val="001A2213"/>
    <w:rsid w:val="001A24EB"/>
    <w:rsid w:val="001A2872"/>
    <w:rsid w:val="001A39A8"/>
    <w:rsid w:val="001A42A6"/>
    <w:rsid w:val="001A4A3B"/>
    <w:rsid w:val="001A4BBB"/>
    <w:rsid w:val="001A4C1B"/>
    <w:rsid w:val="001A4F89"/>
    <w:rsid w:val="001A5412"/>
    <w:rsid w:val="001A7AE0"/>
    <w:rsid w:val="001A7B5A"/>
    <w:rsid w:val="001A7CB1"/>
    <w:rsid w:val="001B0D36"/>
    <w:rsid w:val="001B0DB3"/>
    <w:rsid w:val="001B0DDE"/>
    <w:rsid w:val="001B1350"/>
    <w:rsid w:val="001B13CA"/>
    <w:rsid w:val="001B170E"/>
    <w:rsid w:val="001B1A5C"/>
    <w:rsid w:val="001B1C0E"/>
    <w:rsid w:val="001B1D55"/>
    <w:rsid w:val="001B1F25"/>
    <w:rsid w:val="001B2BD6"/>
    <w:rsid w:val="001B2CB6"/>
    <w:rsid w:val="001B377E"/>
    <w:rsid w:val="001B39F3"/>
    <w:rsid w:val="001B3D7C"/>
    <w:rsid w:val="001B3DDA"/>
    <w:rsid w:val="001B3E41"/>
    <w:rsid w:val="001B3F24"/>
    <w:rsid w:val="001B4FC0"/>
    <w:rsid w:val="001B5B3E"/>
    <w:rsid w:val="001B6087"/>
    <w:rsid w:val="001B65A1"/>
    <w:rsid w:val="001B6678"/>
    <w:rsid w:val="001B6789"/>
    <w:rsid w:val="001B6A07"/>
    <w:rsid w:val="001B7457"/>
    <w:rsid w:val="001B7657"/>
    <w:rsid w:val="001B782E"/>
    <w:rsid w:val="001B78A7"/>
    <w:rsid w:val="001C074C"/>
    <w:rsid w:val="001C0902"/>
    <w:rsid w:val="001C115A"/>
    <w:rsid w:val="001C1587"/>
    <w:rsid w:val="001C17AF"/>
    <w:rsid w:val="001C1EF4"/>
    <w:rsid w:val="001C24A2"/>
    <w:rsid w:val="001C26FD"/>
    <w:rsid w:val="001C31F2"/>
    <w:rsid w:val="001C34EC"/>
    <w:rsid w:val="001C38EA"/>
    <w:rsid w:val="001C3BDE"/>
    <w:rsid w:val="001C456B"/>
    <w:rsid w:val="001C4686"/>
    <w:rsid w:val="001C4E9E"/>
    <w:rsid w:val="001C5015"/>
    <w:rsid w:val="001C50E0"/>
    <w:rsid w:val="001C5470"/>
    <w:rsid w:val="001C5F76"/>
    <w:rsid w:val="001C6257"/>
    <w:rsid w:val="001C669E"/>
    <w:rsid w:val="001C719A"/>
    <w:rsid w:val="001C7FD3"/>
    <w:rsid w:val="001C7FF5"/>
    <w:rsid w:val="001D004C"/>
    <w:rsid w:val="001D0511"/>
    <w:rsid w:val="001D05F6"/>
    <w:rsid w:val="001D0955"/>
    <w:rsid w:val="001D1160"/>
    <w:rsid w:val="001D12D9"/>
    <w:rsid w:val="001D1A28"/>
    <w:rsid w:val="001D22D0"/>
    <w:rsid w:val="001D3462"/>
    <w:rsid w:val="001D387C"/>
    <w:rsid w:val="001D4447"/>
    <w:rsid w:val="001D4C12"/>
    <w:rsid w:val="001D4D61"/>
    <w:rsid w:val="001D5566"/>
    <w:rsid w:val="001D6346"/>
    <w:rsid w:val="001D683C"/>
    <w:rsid w:val="001D6E99"/>
    <w:rsid w:val="001D7084"/>
    <w:rsid w:val="001D7511"/>
    <w:rsid w:val="001E12BE"/>
    <w:rsid w:val="001E13DE"/>
    <w:rsid w:val="001E14E4"/>
    <w:rsid w:val="001E17B6"/>
    <w:rsid w:val="001E1A45"/>
    <w:rsid w:val="001E1DD9"/>
    <w:rsid w:val="001E2252"/>
    <w:rsid w:val="001E2D71"/>
    <w:rsid w:val="001E3384"/>
    <w:rsid w:val="001E3607"/>
    <w:rsid w:val="001E3C57"/>
    <w:rsid w:val="001E403F"/>
    <w:rsid w:val="001E4915"/>
    <w:rsid w:val="001E4ADE"/>
    <w:rsid w:val="001E4B17"/>
    <w:rsid w:val="001E4D3F"/>
    <w:rsid w:val="001E55F8"/>
    <w:rsid w:val="001E5A21"/>
    <w:rsid w:val="001E638A"/>
    <w:rsid w:val="001E66EC"/>
    <w:rsid w:val="001E7265"/>
    <w:rsid w:val="001E7CED"/>
    <w:rsid w:val="001F066B"/>
    <w:rsid w:val="001F066F"/>
    <w:rsid w:val="001F07F7"/>
    <w:rsid w:val="001F09EF"/>
    <w:rsid w:val="001F107B"/>
    <w:rsid w:val="001F11D2"/>
    <w:rsid w:val="001F11E7"/>
    <w:rsid w:val="001F144B"/>
    <w:rsid w:val="001F14F1"/>
    <w:rsid w:val="001F18B8"/>
    <w:rsid w:val="001F1D37"/>
    <w:rsid w:val="001F1DC3"/>
    <w:rsid w:val="001F205D"/>
    <w:rsid w:val="001F2529"/>
    <w:rsid w:val="001F28D4"/>
    <w:rsid w:val="001F293C"/>
    <w:rsid w:val="001F29A9"/>
    <w:rsid w:val="001F29AB"/>
    <w:rsid w:val="001F2A46"/>
    <w:rsid w:val="001F2CC5"/>
    <w:rsid w:val="001F2D99"/>
    <w:rsid w:val="001F30B7"/>
    <w:rsid w:val="001F3585"/>
    <w:rsid w:val="001F3674"/>
    <w:rsid w:val="001F3868"/>
    <w:rsid w:val="001F38DC"/>
    <w:rsid w:val="001F3E17"/>
    <w:rsid w:val="001F4777"/>
    <w:rsid w:val="001F4BFB"/>
    <w:rsid w:val="001F4EA5"/>
    <w:rsid w:val="001F535C"/>
    <w:rsid w:val="001F5786"/>
    <w:rsid w:val="001F5DB7"/>
    <w:rsid w:val="001F65B4"/>
    <w:rsid w:val="001F67CD"/>
    <w:rsid w:val="001F691F"/>
    <w:rsid w:val="001F6EA1"/>
    <w:rsid w:val="001F6F22"/>
    <w:rsid w:val="001F6F94"/>
    <w:rsid w:val="001F735F"/>
    <w:rsid w:val="00200609"/>
    <w:rsid w:val="00201442"/>
    <w:rsid w:val="002017D5"/>
    <w:rsid w:val="002018E9"/>
    <w:rsid w:val="00201C0C"/>
    <w:rsid w:val="0020284E"/>
    <w:rsid w:val="0020356D"/>
    <w:rsid w:val="00203A57"/>
    <w:rsid w:val="00204D70"/>
    <w:rsid w:val="00204D73"/>
    <w:rsid w:val="00204FF3"/>
    <w:rsid w:val="00205115"/>
    <w:rsid w:val="00205B87"/>
    <w:rsid w:val="00205C3A"/>
    <w:rsid w:val="00206699"/>
    <w:rsid w:val="0020683D"/>
    <w:rsid w:val="00206FF1"/>
    <w:rsid w:val="0020714D"/>
    <w:rsid w:val="00207165"/>
    <w:rsid w:val="0020781E"/>
    <w:rsid w:val="00207F84"/>
    <w:rsid w:val="00210AEB"/>
    <w:rsid w:val="00211235"/>
    <w:rsid w:val="00211A81"/>
    <w:rsid w:val="00211BB9"/>
    <w:rsid w:val="00212A5F"/>
    <w:rsid w:val="00212F6D"/>
    <w:rsid w:val="002134E0"/>
    <w:rsid w:val="0021389F"/>
    <w:rsid w:val="00213ABA"/>
    <w:rsid w:val="00213EEC"/>
    <w:rsid w:val="00214100"/>
    <w:rsid w:val="0021433A"/>
    <w:rsid w:val="002147DF"/>
    <w:rsid w:val="002149DB"/>
    <w:rsid w:val="0021600D"/>
    <w:rsid w:val="00216074"/>
    <w:rsid w:val="002161B4"/>
    <w:rsid w:val="00216246"/>
    <w:rsid w:val="002165FB"/>
    <w:rsid w:val="00216C89"/>
    <w:rsid w:val="00217265"/>
    <w:rsid w:val="00217CB8"/>
    <w:rsid w:val="00217E65"/>
    <w:rsid w:val="00220053"/>
    <w:rsid w:val="002208E4"/>
    <w:rsid w:val="00220F3B"/>
    <w:rsid w:val="00220FB1"/>
    <w:rsid w:val="00221599"/>
    <w:rsid w:val="00221868"/>
    <w:rsid w:val="00221A0F"/>
    <w:rsid w:val="00221A7F"/>
    <w:rsid w:val="00222675"/>
    <w:rsid w:val="002228B1"/>
    <w:rsid w:val="00222D9A"/>
    <w:rsid w:val="00223490"/>
    <w:rsid w:val="00223B4B"/>
    <w:rsid w:val="00223FC8"/>
    <w:rsid w:val="002243EA"/>
    <w:rsid w:val="00224BFB"/>
    <w:rsid w:val="00225568"/>
    <w:rsid w:val="00225917"/>
    <w:rsid w:val="00225977"/>
    <w:rsid w:val="0022601F"/>
    <w:rsid w:val="002265A6"/>
    <w:rsid w:val="00226A99"/>
    <w:rsid w:val="00226F7C"/>
    <w:rsid w:val="00227072"/>
    <w:rsid w:val="002271B4"/>
    <w:rsid w:val="00227238"/>
    <w:rsid w:val="0023031C"/>
    <w:rsid w:val="00230B74"/>
    <w:rsid w:val="00230E4D"/>
    <w:rsid w:val="00231047"/>
    <w:rsid w:val="00231867"/>
    <w:rsid w:val="00231CB1"/>
    <w:rsid w:val="00231D7B"/>
    <w:rsid w:val="0023200A"/>
    <w:rsid w:val="00232508"/>
    <w:rsid w:val="00232826"/>
    <w:rsid w:val="002328A4"/>
    <w:rsid w:val="00232C05"/>
    <w:rsid w:val="00232FAF"/>
    <w:rsid w:val="002332B7"/>
    <w:rsid w:val="00233B5C"/>
    <w:rsid w:val="002340D5"/>
    <w:rsid w:val="0023511F"/>
    <w:rsid w:val="00235938"/>
    <w:rsid w:val="002370EF"/>
    <w:rsid w:val="00240608"/>
    <w:rsid w:val="002411DC"/>
    <w:rsid w:val="00241B62"/>
    <w:rsid w:val="00241D65"/>
    <w:rsid w:val="002424BD"/>
    <w:rsid w:val="00242D76"/>
    <w:rsid w:val="0024320D"/>
    <w:rsid w:val="00243FA8"/>
    <w:rsid w:val="0024406B"/>
    <w:rsid w:val="00244390"/>
    <w:rsid w:val="00244580"/>
    <w:rsid w:val="002451A3"/>
    <w:rsid w:val="0024526D"/>
    <w:rsid w:val="0024564E"/>
    <w:rsid w:val="00246296"/>
    <w:rsid w:val="002464B6"/>
    <w:rsid w:val="002466D6"/>
    <w:rsid w:val="002467B9"/>
    <w:rsid w:val="00246AED"/>
    <w:rsid w:val="00247861"/>
    <w:rsid w:val="00247C25"/>
    <w:rsid w:val="00247FCE"/>
    <w:rsid w:val="0025023D"/>
    <w:rsid w:val="00250458"/>
    <w:rsid w:val="00250628"/>
    <w:rsid w:val="00250632"/>
    <w:rsid w:val="00250735"/>
    <w:rsid w:val="0025073D"/>
    <w:rsid w:val="002509F1"/>
    <w:rsid w:val="0025132B"/>
    <w:rsid w:val="002516ED"/>
    <w:rsid w:val="002525CF"/>
    <w:rsid w:val="00252D99"/>
    <w:rsid w:val="00252DE5"/>
    <w:rsid w:val="00252EF8"/>
    <w:rsid w:val="0025384A"/>
    <w:rsid w:val="00253C60"/>
    <w:rsid w:val="00254CD9"/>
    <w:rsid w:val="002553F6"/>
    <w:rsid w:val="002554B5"/>
    <w:rsid w:val="002557DA"/>
    <w:rsid w:val="00255950"/>
    <w:rsid w:val="00255BC3"/>
    <w:rsid w:val="00256789"/>
    <w:rsid w:val="002569D9"/>
    <w:rsid w:val="00256E50"/>
    <w:rsid w:val="00256E82"/>
    <w:rsid w:val="00257908"/>
    <w:rsid w:val="0025796E"/>
    <w:rsid w:val="00257FD3"/>
    <w:rsid w:val="00260176"/>
    <w:rsid w:val="002608F4"/>
    <w:rsid w:val="00261897"/>
    <w:rsid w:val="00261C47"/>
    <w:rsid w:val="0026205A"/>
    <w:rsid w:val="002629D8"/>
    <w:rsid w:val="00262C54"/>
    <w:rsid w:val="00262F90"/>
    <w:rsid w:val="00262FF8"/>
    <w:rsid w:val="002634EA"/>
    <w:rsid w:val="00263EA1"/>
    <w:rsid w:val="00263F25"/>
    <w:rsid w:val="0026403F"/>
    <w:rsid w:val="00264677"/>
    <w:rsid w:val="002649F0"/>
    <w:rsid w:val="0026516B"/>
    <w:rsid w:val="00265326"/>
    <w:rsid w:val="00265520"/>
    <w:rsid w:val="00265694"/>
    <w:rsid w:val="002656FC"/>
    <w:rsid w:val="0026580A"/>
    <w:rsid w:val="00265A24"/>
    <w:rsid w:val="00266B15"/>
    <w:rsid w:val="00270170"/>
    <w:rsid w:val="002705BA"/>
    <w:rsid w:val="00270BCB"/>
    <w:rsid w:val="00270F6A"/>
    <w:rsid w:val="00270FDE"/>
    <w:rsid w:val="0027193D"/>
    <w:rsid w:val="00271BCA"/>
    <w:rsid w:val="002723FE"/>
    <w:rsid w:val="0027254D"/>
    <w:rsid w:val="0027359C"/>
    <w:rsid w:val="002738C6"/>
    <w:rsid w:val="0027394C"/>
    <w:rsid w:val="00273E61"/>
    <w:rsid w:val="00274876"/>
    <w:rsid w:val="002748F3"/>
    <w:rsid w:val="00274DDC"/>
    <w:rsid w:val="00275D12"/>
    <w:rsid w:val="00275EDF"/>
    <w:rsid w:val="00276418"/>
    <w:rsid w:val="002767C9"/>
    <w:rsid w:val="002777A8"/>
    <w:rsid w:val="00277D09"/>
    <w:rsid w:val="00277D91"/>
    <w:rsid w:val="00277F2A"/>
    <w:rsid w:val="002804B4"/>
    <w:rsid w:val="0028057E"/>
    <w:rsid w:val="00280860"/>
    <w:rsid w:val="002809E5"/>
    <w:rsid w:val="00281174"/>
    <w:rsid w:val="0028183E"/>
    <w:rsid w:val="00281B06"/>
    <w:rsid w:val="00281CB5"/>
    <w:rsid w:val="00282375"/>
    <w:rsid w:val="002825B6"/>
    <w:rsid w:val="00282644"/>
    <w:rsid w:val="002829D8"/>
    <w:rsid w:val="0028342E"/>
    <w:rsid w:val="00283D77"/>
    <w:rsid w:val="00283E2A"/>
    <w:rsid w:val="00284384"/>
    <w:rsid w:val="002846B0"/>
    <w:rsid w:val="00284927"/>
    <w:rsid w:val="00286606"/>
    <w:rsid w:val="0028666E"/>
    <w:rsid w:val="0028666F"/>
    <w:rsid w:val="002866FB"/>
    <w:rsid w:val="00286C41"/>
    <w:rsid w:val="0028739D"/>
    <w:rsid w:val="0029054A"/>
    <w:rsid w:val="002907AF"/>
    <w:rsid w:val="00290B19"/>
    <w:rsid w:val="00290B59"/>
    <w:rsid w:val="002914EC"/>
    <w:rsid w:val="002914FE"/>
    <w:rsid w:val="00291655"/>
    <w:rsid w:val="00291674"/>
    <w:rsid w:val="00291DA8"/>
    <w:rsid w:val="002924C1"/>
    <w:rsid w:val="0029257A"/>
    <w:rsid w:val="00293398"/>
    <w:rsid w:val="002935C4"/>
    <w:rsid w:val="00293B7A"/>
    <w:rsid w:val="00293D6A"/>
    <w:rsid w:val="002941AC"/>
    <w:rsid w:val="002942AA"/>
    <w:rsid w:val="00294A7B"/>
    <w:rsid w:val="00294DFB"/>
    <w:rsid w:val="00294ECF"/>
    <w:rsid w:val="002954CA"/>
    <w:rsid w:val="00295CBF"/>
    <w:rsid w:val="002960D0"/>
    <w:rsid w:val="00296564"/>
    <w:rsid w:val="002965D6"/>
    <w:rsid w:val="00296D87"/>
    <w:rsid w:val="00297DE7"/>
    <w:rsid w:val="00297F7E"/>
    <w:rsid w:val="002A0469"/>
    <w:rsid w:val="002A083C"/>
    <w:rsid w:val="002A094E"/>
    <w:rsid w:val="002A0B49"/>
    <w:rsid w:val="002A0CB4"/>
    <w:rsid w:val="002A1079"/>
    <w:rsid w:val="002A120D"/>
    <w:rsid w:val="002A193B"/>
    <w:rsid w:val="002A1E76"/>
    <w:rsid w:val="002A1F82"/>
    <w:rsid w:val="002A23AF"/>
    <w:rsid w:val="002A2486"/>
    <w:rsid w:val="002A31F6"/>
    <w:rsid w:val="002A3750"/>
    <w:rsid w:val="002A3944"/>
    <w:rsid w:val="002A3AE2"/>
    <w:rsid w:val="002A3DBE"/>
    <w:rsid w:val="002A4350"/>
    <w:rsid w:val="002A456E"/>
    <w:rsid w:val="002A49B9"/>
    <w:rsid w:val="002A49ED"/>
    <w:rsid w:val="002A4CCE"/>
    <w:rsid w:val="002A50C2"/>
    <w:rsid w:val="002A51E8"/>
    <w:rsid w:val="002A548E"/>
    <w:rsid w:val="002A569A"/>
    <w:rsid w:val="002A588D"/>
    <w:rsid w:val="002A59A6"/>
    <w:rsid w:val="002A5F42"/>
    <w:rsid w:val="002A6674"/>
    <w:rsid w:val="002A6EE0"/>
    <w:rsid w:val="002A7366"/>
    <w:rsid w:val="002A74E7"/>
    <w:rsid w:val="002A7BB9"/>
    <w:rsid w:val="002A7E6B"/>
    <w:rsid w:val="002B0005"/>
    <w:rsid w:val="002B0C9D"/>
    <w:rsid w:val="002B1019"/>
    <w:rsid w:val="002B10F4"/>
    <w:rsid w:val="002B15EA"/>
    <w:rsid w:val="002B1F10"/>
    <w:rsid w:val="002B27F1"/>
    <w:rsid w:val="002B2A3B"/>
    <w:rsid w:val="002B2B72"/>
    <w:rsid w:val="002B2B94"/>
    <w:rsid w:val="002B2FBD"/>
    <w:rsid w:val="002B3C43"/>
    <w:rsid w:val="002B404D"/>
    <w:rsid w:val="002B435F"/>
    <w:rsid w:val="002B4743"/>
    <w:rsid w:val="002B48A9"/>
    <w:rsid w:val="002B48D4"/>
    <w:rsid w:val="002B4E00"/>
    <w:rsid w:val="002B4F61"/>
    <w:rsid w:val="002B55D1"/>
    <w:rsid w:val="002B56AD"/>
    <w:rsid w:val="002B5934"/>
    <w:rsid w:val="002B67B1"/>
    <w:rsid w:val="002B6882"/>
    <w:rsid w:val="002B6AAE"/>
    <w:rsid w:val="002B6EBE"/>
    <w:rsid w:val="002B7721"/>
    <w:rsid w:val="002B7C94"/>
    <w:rsid w:val="002B7E60"/>
    <w:rsid w:val="002C057A"/>
    <w:rsid w:val="002C06E5"/>
    <w:rsid w:val="002C0829"/>
    <w:rsid w:val="002C0C46"/>
    <w:rsid w:val="002C0D3E"/>
    <w:rsid w:val="002C0F17"/>
    <w:rsid w:val="002C101C"/>
    <w:rsid w:val="002C1B6D"/>
    <w:rsid w:val="002C20C1"/>
    <w:rsid w:val="002C2819"/>
    <w:rsid w:val="002C298A"/>
    <w:rsid w:val="002C29FE"/>
    <w:rsid w:val="002C30AE"/>
    <w:rsid w:val="002C3580"/>
    <w:rsid w:val="002C3E6A"/>
    <w:rsid w:val="002C3ED4"/>
    <w:rsid w:val="002C420D"/>
    <w:rsid w:val="002C4246"/>
    <w:rsid w:val="002C478D"/>
    <w:rsid w:val="002C4A1A"/>
    <w:rsid w:val="002C4D0F"/>
    <w:rsid w:val="002C5512"/>
    <w:rsid w:val="002C59B9"/>
    <w:rsid w:val="002C5CF2"/>
    <w:rsid w:val="002C5FE3"/>
    <w:rsid w:val="002C64EF"/>
    <w:rsid w:val="002C6E75"/>
    <w:rsid w:val="002C774D"/>
    <w:rsid w:val="002C779E"/>
    <w:rsid w:val="002C7CBF"/>
    <w:rsid w:val="002D02EB"/>
    <w:rsid w:val="002D03D5"/>
    <w:rsid w:val="002D0876"/>
    <w:rsid w:val="002D11F5"/>
    <w:rsid w:val="002D1866"/>
    <w:rsid w:val="002D19F2"/>
    <w:rsid w:val="002D2083"/>
    <w:rsid w:val="002D27FF"/>
    <w:rsid w:val="002D2AC6"/>
    <w:rsid w:val="002D30BE"/>
    <w:rsid w:val="002D32DE"/>
    <w:rsid w:val="002D3A24"/>
    <w:rsid w:val="002D4272"/>
    <w:rsid w:val="002D4443"/>
    <w:rsid w:val="002D471D"/>
    <w:rsid w:val="002D4AB1"/>
    <w:rsid w:val="002D519D"/>
    <w:rsid w:val="002D54D9"/>
    <w:rsid w:val="002D669D"/>
    <w:rsid w:val="002D66FE"/>
    <w:rsid w:val="002D7609"/>
    <w:rsid w:val="002D76DB"/>
    <w:rsid w:val="002D7915"/>
    <w:rsid w:val="002D7A06"/>
    <w:rsid w:val="002D7EF8"/>
    <w:rsid w:val="002E0463"/>
    <w:rsid w:val="002E0E57"/>
    <w:rsid w:val="002E20E3"/>
    <w:rsid w:val="002E22D4"/>
    <w:rsid w:val="002E25D9"/>
    <w:rsid w:val="002E3139"/>
    <w:rsid w:val="002E34B3"/>
    <w:rsid w:val="002E395C"/>
    <w:rsid w:val="002E3F4F"/>
    <w:rsid w:val="002E4002"/>
    <w:rsid w:val="002E4939"/>
    <w:rsid w:val="002E4AAD"/>
    <w:rsid w:val="002E5261"/>
    <w:rsid w:val="002E5700"/>
    <w:rsid w:val="002E65B8"/>
    <w:rsid w:val="002E69B5"/>
    <w:rsid w:val="002E69E4"/>
    <w:rsid w:val="002E6AB9"/>
    <w:rsid w:val="002E7789"/>
    <w:rsid w:val="002E7A3E"/>
    <w:rsid w:val="002E7B9A"/>
    <w:rsid w:val="002F0159"/>
    <w:rsid w:val="002F08DA"/>
    <w:rsid w:val="002F14C2"/>
    <w:rsid w:val="002F15A5"/>
    <w:rsid w:val="002F1974"/>
    <w:rsid w:val="002F1A6E"/>
    <w:rsid w:val="002F1AA0"/>
    <w:rsid w:val="002F1D61"/>
    <w:rsid w:val="002F276E"/>
    <w:rsid w:val="002F29FE"/>
    <w:rsid w:val="002F311C"/>
    <w:rsid w:val="002F31DC"/>
    <w:rsid w:val="002F3BE9"/>
    <w:rsid w:val="002F48C5"/>
    <w:rsid w:val="002F4FE8"/>
    <w:rsid w:val="002F5232"/>
    <w:rsid w:val="002F525C"/>
    <w:rsid w:val="002F539B"/>
    <w:rsid w:val="002F5468"/>
    <w:rsid w:val="002F5526"/>
    <w:rsid w:val="002F60C9"/>
    <w:rsid w:val="002F62D8"/>
    <w:rsid w:val="002F6461"/>
    <w:rsid w:val="002F6806"/>
    <w:rsid w:val="002F6FCF"/>
    <w:rsid w:val="002F72BD"/>
    <w:rsid w:val="002F7307"/>
    <w:rsid w:val="002F79ED"/>
    <w:rsid w:val="002F7A35"/>
    <w:rsid w:val="0030021D"/>
    <w:rsid w:val="003006B8"/>
    <w:rsid w:val="00300822"/>
    <w:rsid w:val="00300BD2"/>
    <w:rsid w:val="00301191"/>
    <w:rsid w:val="00301378"/>
    <w:rsid w:val="00301464"/>
    <w:rsid w:val="00301CAB"/>
    <w:rsid w:val="00301D3B"/>
    <w:rsid w:val="00301DE1"/>
    <w:rsid w:val="0030213D"/>
    <w:rsid w:val="003027DA"/>
    <w:rsid w:val="003028CC"/>
    <w:rsid w:val="00302EBF"/>
    <w:rsid w:val="00303062"/>
    <w:rsid w:val="0030319B"/>
    <w:rsid w:val="003031DD"/>
    <w:rsid w:val="00303222"/>
    <w:rsid w:val="00303261"/>
    <w:rsid w:val="00303B1A"/>
    <w:rsid w:val="00303DDC"/>
    <w:rsid w:val="00305065"/>
    <w:rsid w:val="0030510A"/>
    <w:rsid w:val="003055A0"/>
    <w:rsid w:val="00305A6E"/>
    <w:rsid w:val="00306B27"/>
    <w:rsid w:val="003073C5"/>
    <w:rsid w:val="003074C5"/>
    <w:rsid w:val="00307CFF"/>
    <w:rsid w:val="003103E2"/>
    <w:rsid w:val="00310C3B"/>
    <w:rsid w:val="0031198B"/>
    <w:rsid w:val="003119B6"/>
    <w:rsid w:val="00311ED8"/>
    <w:rsid w:val="003136F3"/>
    <w:rsid w:val="00313EFD"/>
    <w:rsid w:val="00314234"/>
    <w:rsid w:val="00314917"/>
    <w:rsid w:val="00314A19"/>
    <w:rsid w:val="00315A0A"/>
    <w:rsid w:val="00315FBA"/>
    <w:rsid w:val="00315FDA"/>
    <w:rsid w:val="00316233"/>
    <w:rsid w:val="00316A03"/>
    <w:rsid w:val="00316B6B"/>
    <w:rsid w:val="00316BC0"/>
    <w:rsid w:val="00316C9D"/>
    <w:rsid w:val="00316E8F"/>
    <w:rsid w:val="00317E42"/>
    <w:rsid w:val="0032003C"/>
    <w:rsid w:val="0032030C"/>
    <w:rsid w:val="003203AA"/>
    <w:rsid w:val="003203F9"/>
    <w:rsid w:val="003204AD"/>
    <w:rsid w:val="00321258"/>
    <w:rsid w:val="00321294"/>
    <w:rsid w:val="00321343"/>
    <w:rsid w:val="0032164E"/>
    <w:rsid w:val="00322160"/>
    <w:rsid w:val="00322B21"/>
    <w:rsid w:val="00322CB5"/>
    <w:rsid w:val="00323322"/>
    <w:rsid w:val="0032357E"/>
    <w:rsid w:val="0032385B"/>
    <w:rsid w:val="00324084"/>
    <w:rsid w:val="003252C7"/>
    <w:rsid w:val="0032555F"/>
    <w:rsid w:val="003257BF"/>
    <w:rsid w:val="003258A2"/>
    <w:rsid w:val="00325C0D"/>
    <w:rsid w:val="00326D08"/>
    <w:rsid w:val="00326D73"/>
    <w:rsid w:val="00326F66"/>
    <w:rsid w:val="003273E2"/>
    <w:rsid w:val="003277E5"/>
    <w:rsid w:val="00327808"/>
    <w:rsid w:val="00327AAC"/>
    <w:rsid w:val="00327FCF"/>
    <w:rsid w:val="00330D22"/>
    <w:rsid w:val="003312FA"/>
    <w:rsid w:val="00331DF2"/>
    <w:rsid w:val="00332121"/>
    <w:rsid w:val="0033257C"/>
    <w:rsid w:val="003325DB"/>
    <w:rsid w:val="003327B5"/>
    <w:rsid w:val="00332D33"/>
    <w:rsid w:val="003330B3"/>
    <w:rsid w:val="003336C9"/>
    <w:rsid w:val="003336E2"/>
    <w:rsid w:val="00333A9C"/>
    <w:rsid w:val="00333C10"/>
    <w:rsid w:val="0033508D"/>
    <w:rsid w:val="00335288"/>
    <w:rsid w:val="0033558C"/>
    <w:rsid w:val="00335F8D"/>
    <w:rsid w:val="00336117"/>
    <w:rsid w:val="0033784C"/>
    <w:rsid w:val="00337A81"/>
    <w:rsid w:val="003401E0"/>
    <w:rsid w:val="00340226"/>
    <w:rsid w:val="0034030C"/>
    <w:rsid w:val="0034059E"/>
    <w:rsid w:val="003408E6"/>
    <w:rsid w:val="003408F4"/>
    <w:rsid w:val="0034166F"/>
    <w:rsid w:val="0034184F"/>
    <w:rsid w:val="00341CD5"/>
    <w:rsid w:val="00342A8D"/>
    <w:rsid w:val="00342DFB"/>
    <w:rsid w:val="00343014"/>
    <w:rsid w:val="003430B1"/>
    <w:rsid w:val="0034312C"/>
    <w:rsid w:val="00343533"/>
    <w:rsid w:val="0034357E"/>
    <w:rsid w:val="00343852"/>
    <w:rsid w:val="003439BB"/>
    <w:rsid w:val="003440E1"/>
    <w:rsid w:val="00344442"/>
    <w:rsid w:val="00344903"/>
    <w:rsid w:val="0034606D"/>
    <w:rsid w:val="00346361"/>
    <w:rsid w:val="00346523"/>
    <w:rsid w:val="0034712B"/>
    <w:rsid w:val="003473AB"/>
    <w:rsid w:val="00347558"/>
    <w:rsid w:val="00347AE9"/>
    <w:rsid w:val="00350125"/>
    <w:rsid w:val="003501E8"/>
    <w:rsid w:val="0035091D"/>
    <w:rsid w:val="0035264A"/>
    <w:rsid w:val="00352709"/>
    <w:rsid w:val="003534DA"/>
    <w:rsid w:val="0035484B"/>
    <w:rsid w:val="00355041"/>
    <w:rsid w:val="00355110"/>
    <w:rsid w:val="00355217"/>
    <w:rsid w:val="00355866"/>
    <w:rsid w:val="00356189"/>
    <w:rsid w:val="0035638C"/>
    <w:rsid w:val="00356495"/>
    <w:rsid w:val="00356E3F"/>
    <w:rsid w:val="003570E9"/>
    <w:rsid w:val="0035715C"/>
    <w:rsid w:val="00357762"/>
    <w:rsid w:val="00360366"/>
    <w:rsid w:val="00360705"/>
    <w:rsid w:val="003612CE"/>
    <w:rsid w:val="00361A06"/>
    <w:rsid w:val="00362F26"/>
    <w:rsid w:val="003631B0"/>
    <w:rsid w:val="003631E0"/>
    <w:rsid w:val="003633CB"/>
    <w:rsid w:val="00363DBF"/>
    <w:rsid w:val="0036499E"/>
    <w:rsid w:val="003649CC"/>
    <w:rsid w:val="00364A97"/>
    <w:rsid w:val="003654BC"/>
    <w:rsid w:val="003658F2"/>
    <w:rsid w:val="00365CA9"/>
    <w:rsid w:val="00365EB2"/>
    <w:rsid w:val="003661BA"/>
    <w:rsid w:val="003663E9"/>
    <w:rsid w:val="00366474"/>
    <w:rsid w:val="003667CE"/>
    <w:rsid w:val="003667F4"/>
    <w:rsid w:val="00367526"/>
    <w:rsid w:val="00367684"/>
    <w:rsid w:val="003678A3"/>
    <w:rsid w:val="00367A5E"/>
    <w:rsid w:val="003705B7"/>
    <w:rsid w:val="00370690"/>
    <w:rsid w:val="00370DAF"/>
    <w:rsid w:val="00370E54"/>
    <w:rsid w:val="00370F56"/>
    <w:rsid w:val="00370FCB"/>
    <w:rsid w:val="0037115F"/>
    <w:rsid w:val="0037205A"/>
    <w:rsid w:val="0037217B"/>
    <w:rsid w:val="0037263C"/>
    <w:rsid w:val="003729D4"/>
    <w:rsid w:val="00373BC9"/>
    <w:rsid w:val="003741F7"/>
    <w:rsid w:val="0037469B"/>
    <w:rsid w:val="003746D0"/>
    <w:rsid w:val="00374904"/>
    <w:rsid w:val="003749CA"/>
    <w:rsid w:val="00374E8E"/>
    <w:rsid w:val="003755F7"/>
    <w:rsid w:val="00375787"/>
    <w:rsid w:val="003759D5"/>
    <w:rsid w:val="00375E78"/>
    <w:rsid w:val="00376261"/>
    <w:rsid w:val="003765C7"/>
    <w:rsid w:val="00376954"/>
    <w:rsid w:val="00376A02"/>
    <w:rsid w:val="00376E83"/>
    <w:rsid w:val="0037701F"/>
    <w:rsid w:val="00377751"/>
    <w:rsid w:val="00377A05"/>
    <w:rsid w:val="00377B83"/>
    <w:rsid w:val="003801BC"/>
    <w:rsid w:val="00380CEB"/>
    <w:rsid w:val="0038157D"/>
    <w:rsid w:val="003816DD"/>
    <w:rsid w:val="0038170D"/>
    <w:rsid w:val="00381B75"/>
    <w:rsid w:val="0038209B"/>
    <w:rsid w:val="003820DC"/>
    <w:rsid w:val="003827D8"/>
    <w:rsid w:val="00382855"/>
    <w:rsid w:val="003829B6"/>
    <w:rsid w:val="00382A5B"/>
    <w:rsid w:val="00382B24"/>
    <w:rsid w:val="00382B2C"/>
    <w:rsid w:val="00383051"/>
    <w:rsid w:val="00383E95"/>
    <w:rsid w:val="00384A4D"/>
    <w:rsid w:val="003856DB"/>
    <w:rsid w:val="00385A16"/>
    <w:rsid w:val="00385B97"/>
    <w:rsid w:val="00385CFC"/>
    <w:rsid w:val="00386062"/>
    <w:rsid w:val="0038636B"/>
    <w:rsid w:val="003865A8"/>
    <w:rsid w:val="0038690F"/>
    <w:rsid w:val="00386A42"/>
    <w:rsid w:val="00387471"/>
    <w:rsid w:val="00387558"/>
    <w:rsid w:val="0038768F"/>
    <w:rsid w:val="003876C4"/>
    <w:rsid w:val="0039024C"/>
    <w:rsid w:val="00390544"/>
    <w:rsid w:val="00390999"/>
    <w:rsid w:val="00390B5B"/>
    <w:rsid w:val="0039136E"/>
    <w:rsid w:val="0039143F"/>
    <w:rsid w:val="0039171A"/>
    <w:rsid w:val="00392227"/>
    <w:rsid w:val="003926A8"/>
    <w:rsid w:val="00392A9D"/>
    <w:rsid w:val="00392E14"/>
    <w:rsid w:val="0039313F"/>
    <w:rsid w:val="00393FF9"/>
    <w:rsid w:val="00394016"/>
    <w:rsid w:val="003941A0"/>
    <w:rsid w:val="00394202"/>
    <w:rsid w:val="00394EE1"/>
    <w:rsid w:val="00396198"/>
    <w:rsid w:val="003966D7"/>
    <w:rsid w:val="003967F1"/>
    <w:rsid w:val="00397535"/>
    <w:rsid w:val="0039759B"/>
    <w:rsid w:val="0039766E"/>
    <w:rsid w:val="003977BD"/>
    <w:rsid w:val="00397A66"/>
    <w:rsid w:val="003A065C"/>
    <w:rsid w:val="003A06E5"/>
    <w:rsid w:val="003A0F28"/>
    <w:rsid w:val="003A1403"/>
    <w:rsid w:val="003A18C3"/>
    <w:rsid w:val="003A1B2E"/>
    <w:rsid w:val="003A216D"/>
    <w:rsid w:val="003A2471"/>
    <w:rsid w:val="003A30D4"/>
    <w:rsid w:val="003A3411"/>
    <w:rsid w:val="003A344C"/>
    <w:rsid w:val="003A3781"/>
    <w:rsid w:val="003A3AB4"/>
    <w:rsid w:val="003A3B70"/>
    <w:rsid w:val="003A3BBE"/>
    <w:rsid w:val="003A409A"/>
    <w:rsid w:val="003A53FA"/>
    <w:rsid w:val="003A5464"/>
    <w:rsid w:val="003A553E"/>
    <w:rsid w:val="003A5748"/>
    <w:rsid w:val="003A5BB0"/>
    <w:rsid w:val="003A66D1"/>
    <w:rsid w:val="003A68A2"/>
    <w:rsid w:val="003A71C2"/>
    <w:rsid w:val="003A7641"/>
    <w:rsid w:val="003A7D06"/>
    <w:rsid w:val="003B051A"/>
    <w:rsid w:val="003B113B"/>
    <w:rsid w:val="003B1587"/>
    <w:rsid w:val="003B2331"/>
    <w:rsid w:val="003B2365"/>
    <w:rsid w:val="003B240D"/>
    <w:rsid w:val="003B3066"/>
    <w:rsid w:val="003B30F3"/>
    <w:rsid w:val="003B3181"/>
    <w:rsid w:val="003B39A3"/>
    <w:rsid w:val="003B3E08"/>
    <w:rsid w:val="003B4970"/>
    <w:rsid w:val="003B53A0"/>
    <w:rsid w:val="003B541A"/>
    <w:rsid w:val="003B5816"/>
    <w:rsid w:val="003B587A"/>
    <w:rsid w:val="003B5953"/>
    <w:rsid w:val="003B5AE7"/>
    <w:rsid w:val="003B6947"/>
    <w:rsid w:val="003B696F"/>
    <w:rsid w:val="003B69C1"/>
    <w:rsid w:val="003B6EB1"/>
    <w:rsid w:val="003B709D"/>
    <w:rsid w:val="003B7715"/>
    <w:rsid w:val="003B7A05"/>
    <w:rsid w:val="003C0148"/>
    <w:rsid w:val="003C0211"/>
    <w:rsid w:val="003C0A9F"/>
    <w:rsid w:val="003C0C35"/>
    <w:rsid w:val="003C0D12"/>
    <w:rsid w:val="003C0E08"/>
    <w:rsid w:val="003C0FD0"/>
    <w:rsid w:val="003C10EC"/>
    <w:rsid w:val="003C1B6D"/>
    <w:rsid w:val="003C237C"/>
    <w:rsid w:val="003C25F4"/>
    <w:rsid w:val="003C2618"/>
    <w:rsid w:val="003C26D0"/>
    <w:rsid w:val="003C36CC"/>
    <w:rsid w:val="003C4018"/>
    <w:rsid w:val="003C42DD"/>
    <w:rsid w:val="003C4E41"/>
    <w:rsid w:val="003C5846"/>
    <w:rsid w:val="003C58A2"/>
    <w:rsid w:val="003C6351"/>
    <w:rsid w:val="003C63B7"/>
    <w:rsid w:val="003C68F0"/>
    <w:rsid w:val="003C6A35"/>
    <w:rsid w:val="003C6D44"/>
    <w:rsid w:val="003C71A1"/>
    <w:rsid w:val="003C7BE8"/>
    <w:rsid w:val="003C7F36"/>
    <w:rsid w:val="003D01AA"/>
    <w:rsid w:val="003D0343"/>
    <w:rsid w:val="003D050D"/>
    <w:rsid w:val="003D0961"/>
    <w:rsid w:val="003D0C7A"/>
    <w:rsid w:val="003D1ABA"/>
    <w:rsid w:val="003D2651"/>
    <w:rsid w:val="003D2B40"/>
    <w:rsid w:val="003D30BF"/>
    <w:rsid w:val="003D3A6D"/>
    <w:rsid w:val="003D3A9C"/>
    <w:rsid w:val="003D426E"/>
    <w:rsid w:val="003D4AAC"/>
    <w:rsid w:val="003D4B94"/>
    <w:rsid w:val="003D505D"/>
    <w:rsid w:val="003D518E"/>
    <w:rsid w:val="003D52FE"/>
    <w:rsid w:val="003D5B07"/>
    <w:rsid w:val="003D689E"/>
    <w:rsid w:val="003D6B33"/>
    <w:rsid w:val="003D6BAB"/>
    <w:rsid w:val="003D6BC7"/>
    <w:rsid w:val="003D6D4A"/>
    <w:rsid w:val="003D725A"/>
    <w:rsid w:val="003D74AA"/>
    <w:rsid w:val="003D76BF"/>
    <w:rsid w:val="003D7960"/>
    <w:rsid w:val="003D79C1"/>
    <w:rsid w:val="003D7A50"/>
    <w:rsid w:val="003D7C08"/>
    <w:rsid w:val="003D7D4A"/>
    <w:rsid w:val="003D7D85"/>
    <w:rsid w:val="003D7DCB"/>
    <w:rsid w:val="003E0226"/>
    <w:rsid w:val="003E0271"/>
    <w:rsid w:val="003E058C"/>
    <w:rsid w:val="003E0765"/>
    <w:rsid w:val="003E0840"/>
    <w:rsid w:val="003E0AC2"/>
    <w:rsid w:val="003E0BC4"/>
    <w:rsid w:val="003E1530"/>
    <w:rsid w:val="003E185C"/>
    <w:rsid w:val="003E1B7C"/>
    <w:rsid w:val="003E33CA"/>
    <w:rsid w:val="003E3EAE"/>
    <w:rsid w:val="003E41D4"/>
    <w:rsid w:val="003E54C4"/>
    <w:rsid w:val="003E5CE6"/>
    <w:rsid w:val="003E5D42"/>
    <w:rsid w:val="003E64B9"/>
    <w:rsid w:val="003E6CB2"/>
    <w:rsid w:val="003E728D"/>
    <w:rsid w:val="003E7295"/>
    <w:rsid w:val="003E77D5"/>
    <w:rsid w:val="003E7A65"/>
    <w:rsid w:val="003F0768"/>
    <w:rsid w:val="003F0B53"/>
    <w:rsid w:val="003F1466"/>
    <w:rsid w:val="003F173D"/>
    <w:rsid w:val="003F1783"/>
    <w:rsid w:val="003F194F"/>
    <w:rsid w:val="003F1D67"/>
    <w:rsid w:val="003F202E"/>
    <w:rsid w:val="003F2159"/>
    <w:rsid w:val="003F2256"/>
    <w:rsid w:val="003F244A"/>
    <w:rsid w:val="003F25F2"/>
    <w:rsid w:val="003F26FE"/>
    <w:rsid w:val="003F27A3"/>
    <w:rsid w:val="003F2A4B"/>
    <w:rsid w:val="003F2C56"/>
    <w:rsid w:val="003F3560"/>
    <w:rsid w:val="003F3E29"/>
    <w:rsid w:val="003F4084"/>
    <w:rsid w:val="003F4BF2"/>
    <w:rsid w:val="003F5475"/>
    <w:rsid w:val="003F5F4D"/>
    <w:rsid w:val="003F622B"/>
    <w:rsid w:val="003F631B"/>
    <w:rsid w:val="003F68FD"/>
    <w:rsid w:val="003F6C13"/>
    <w:rsid w:val="003F7032"/>
    <w:rsid w:val="003F70FD"/>
    <w:rsid w:val="003F7331"/>
    <w:rsid w:val="003F7598"/>
    <w:rsid w:val="003F7D89"/>
    <w:rsid w:val="00400AB3"/>
    <w:rsid w:val="00400DA6"/>
    <w:rsid w:val="00401D0E"/>
    <w:rsid w:val="00401F72"/>
    <w:rsid w:val="0040240C"/>
    <w:rsid w:val="004025ED"/>
    <w:rsid w:val="00402618"/>
    <w:rsid w:val="004027D5"/>
    <w:rsid w:val="00402959"/>
    <w:rsid w:val="00402F58"/>
    <w:rsid w:val="0040314A"/>
    <w:rsid w:val="0040316A"/>
    <w:rsid w:val="00403269"/>
    <w:rsid w:val="004033C6"/>
    <w:rsid w:val="00403D02"/>
    <w:rsid w:val="00404075"/>
    <w:rsid w:val="004045E6"/>
    <w:rsid w:val="00404D05"/>
    <w:rsid w:val="0040519D"/>
    <w:rsid w:val="004054D0"/>
    <w:rsid w:val="00406919"/>
    <w:rsid w:val="00406935"/>
    <w:rsid w:val="00406A0E"/>
    <w:rsid w:val="00406D4A"/>
    <w:rsid w:val="00406E31"/>
    <w:rsid w:val="0040705F"/>
    <w:rsid w:val="004076B9"/>
    <w:rsid w:val="00407D7C"/>
    <w:rsid w:val="00410301"/>
    <w:rsid w:val="004109DF"/>
    <w:rsid w:val="00410B02"/>
    <w:rsid w:val="0041100E"/>
    <w:rsid w:val="004113A8"/>
    <w:rsid w:val="004116BC"/>
    <w:rsid w:val="004119CB"/>
    <w:rsid w:val="00411FBD"/>
    <w:rsid w:val="00412133"/>
    <w:rsid w:val="00412580"/>
    <w:rsid w:val="00412893"/>
    <w:rsid w:val="00412DB3"/>
    <w:rsid w:val="00413566"/>
    <w:rsid w:val="004136D8"/>
    <w:rsid w:val="004139E1"/>
    <w:rsid w:val="004141F1"/>
    <w:rsid w:val="004149A4"/>
    <w:rsid w:val="004154EA"/>
    <w:rsid w:val="00415EEF"/>
    <w:rsid w:val="00415FFB"/>
    <w:rsid w:val="00416402"/>
    <w:rsid w:val="0041673C"/>
    <w:rsid w:val="00416BB3"/>
    <w:rsid w:val="00416D7C"/>
    <w:rsid w:val="00417BBA"/>
    <w:rsid w:val="00417D67"/>
    <w:rsid w:val="00417F2E"/>
    <w:rsid w:val="00420234"/>
    <w:rsid w:val="00420543"/>
    <w:rsid w:val="00420B0E"/>
    <w:rsid w:val="00420EE7"/>
    <w:rsid w:val="0042185C"/>
    <w:rsid w:val="004224E6"/>
    <w:rsid w:val="00422551"/>
    <w:rsid w:val="0042351E"/>
    <w:rsid w:val="004235C0"/>
    <w:rsid w:val="0042393A"/>
    <w:rsid w:val="00423A07"/>
    <w:rsid w:val="004241C7"/>
    <w:rsid w:val="00424AB2"/>
    <w:rsid w:val="00424BAD"/>
    <w:rsid w:val="00424BF6"/>
    <w:rsid w:val="00424CA7"/>
    <w:rsid w:val="00424FC4"/>
    <w:rsid w:val="0042524C"/>
    <w:rsid w:val="00425579"/>
    <w:rsid w:val="00425701"/>
    <w:rsid w:val="0042621A"/>
    <w:rsid w:val="004266A0"/>
    <w:rsid w:val="0042681A"/>
    <w:rsid w:val="00427065"/>
    <w:rsid w:val="004275AC"/>
    <w:rsid w:val="004277E2"/>
    <w:rsid w:val="00430ADA"/>
    <w:rsid w:val="00431518"/>
    <w:rsid w:val="00431C7F"/>
    <w:rsid w:val="00431D10"/>
    <w:rsid w:val="0043283D"/>
    <w:rsid w:val="004329B6"/>
    <w:rsid w:val="00432A42"/>
    <w:rsid w:val="0043381E"/>
    <w:rsid w:val="0043384A"/>
    <w:rsid w:val="00433A48"/>
    <w:rsid w:val="00433AE1"/>
    <w:rsid w:val="0043434A"/>
    <w:rsid w:val="004348B5"/>
    <w:rsid w:val="00435086"/>
    <w:rsid w:val="00435125"/>
    <w:rsid w:val="0043526A"/>
    <w:rsid w:val="00435274"/>
    <w:rsid w:val="00435344"/>
    <w:rsid w:val="0043595C"/>
    <w:rsid w:val="004359DB"/>
    <w:rsid w:val="00435B0C"/>
    <w:rsid w:val="00435B2D"/>
    <w:rsid w:val="0043625A"/>
    <w:rsid w:val="0043642B"/>
    <w:rsid w:val="00436C68"/>
    <w:rsid w:val="00436CF8"/>
    <w:rsid w:val="004370C0"/>
    <w:rsid w:val="004371FC"/>
    <w:rsid w:val="00437263"/>
    <w:rsid w:val="0043762D"/>
    <w:rsid w:val="004376C2"/>
    <w:rsid w:val="00440B51"/>
    <w:rsid w:val="00440EEF"/>
    <w:rsid w:val="004411D5"/>
    <w:rsid w:val="004412FA"/>
    <w:rsid w:val="00441865"/>
    <w:rsid w:val="00441EBC"/>
    <w:rsid w:val="004422C5"/>
    <w:rsid w:val="004423DE"/>
    <w:rsid w:val="00443348"/>
    <w:rsid w:val="00443C60"/>
    <w:rsid w:val="00443FD6"/>
    <w:rsid w:val="0044423E"/>
    <w:rsid w:val="004449EE"/>
    <w:rsid w:val="00445447"/>
    <w:rsid w:val="004456A1"/>
    <w:rsid w:val="0044610C"/>
    <w:rsid w:val="00446203"/>
    <w:rsid w:val="004467CF"/>
    <w:rsid w:val="004470F6"/>
    <w:rsid w:val="00447631"/>
    <w:rsid w:val="00447842"/>
    <w:rsid w:val="00447CFC"/>
    <w:rsid w:val="00447E2B"/>
    <w:rsid w:val="00450336"/>
    <w:rsid w:val="004509ED"/>
    <w:rsid w:val="00450D14"/>
    <w:rsid w:val="00450DE6"/>
    <w:rsid w:val="00450F4E"/>
    <w:rsid w:val="00451D95"/>
    <w:rsid w:val="00451F51"/>
    <w:rsid w:val="0045254A"/>
    <w:rsid w:val="00452B8B"/>
    <w:rsid w:val="00453835"/>
    <w:rsid w:val="00453D0B"/>
    <w:rsid w:val="00453DD6"/>
    <w:rsid w:val="00454001"/>
    <w:rsid w:val="004543C4"/>
    <w:rsid w:val="00454434"/>
    <w:rsid w:val="00454871"/>
    <w:rsid w:val="00454CEB"/>
    <w:rsid w:val="00454EF0"/>
    <w:rsid w:val="0045523C"/>
    <w:rsid w:val="004556FD"/>
    <w:rsid w:val="0045580D"/>
    <w:rsid w:val="00455A41"/>
    <w:rsid w:val="00455E44"/>
    <w:rsid w:val="00456672"/>
    <w:rsid w:val="0045695A"/>
    <w:rsid w:val="00456A2D"/>
    <w:rsid w:val="00456A47"/>
    <w:rsid w:val="00456B25"/>
    <w:rsid w:val="0045729A"/>
    <w:rsid w:val="0045766F"/>
    <w:rsid w:val="004577CB"/>
    <w:rsid w:val="00457B43"/>
    <w:rsid w:val="00457B8A"/>
    <w:rsid w:val="00460647"/>
    <w:rsid w:val="004609D1"/>
    <w:rsid w:val="00460B3F"/>
    <w:rsid w:val="0046118C"/>
    <w:rsid w:val="00461C2C"/>
    <w:rsid w:val="00461FF3"/>
    <w:rsid w:val="004632B2"/>
    <w:rsid w:val="004637E7"/>
    <w:rsid w:val="0046549A"/>
    <w:rsid w:val="00465CAC"/>
    <w:rsid w:val="004667D4"/>
    <w:rsid w:val="00466E86"/>
    <w:rsid w:val="004676DF"/>
    <w:rsid w:val="00467CBC"/>
    <w:rsid w:val="00467EA2"/>
    <w:rsid w:val="00467F93"/>
    <w:rsid w:val="004701F9"/>
    <w:rsid w:val="00470689"/>
    <w:rsid w:val="004709D9"/>
    <w:rsid w:val="0047147A"/>
    <w:rsid w:val="00471C05"/>
    <w:rsid w:val="004723E3"/>
    <w:rsid w:val="004725A0"/>
    <w:rsid w:val="00472B46"/>
    <w:rsid w:val="00472B4C"/>
    <w:rsid w:val="00472C60"/>
    <w:rsid w:val="004730D8"/>
    <w:rsid w:val="004732E7"/>
    <w:rsid w:val="00473583"/>
    <w:rsid w:val="0047363D"/>
    <w:rsid w:val="004739EB"/>
    <w:rsid w:val="00473AB2"/>
    <w:rsid w:val="00473D95"/>
    <w:rsid w:val="00473E83"/>
    <w:rsid w:val="0047424E"/>
    <w:rsid w:val="0047438C"/>
    <w:rsid w:val="004745F4"/>
    <w:rsid w:val="00474A73"/>
    <w:rsid w:val="0047514D"/>
    <w:rsid w:val="004755C2"/>
    <w:rsid w:val="00475F60"/>
    <w:rsid w:val="00475F8C"/>
    <w:rsid w:val="00475F93"/>
    <w:rsid w:val="00475FA3"/>
    <w:rsid w:val="00476056"/>
    <w:rsid w:val="0047609A"/>
    <w:rsid w:val="00476127"/>
    <w:rsid w:val="00476487"/>
    <w:rsid w:val="00476E77"/>
    <w:rsid w:val="00477062"/>
    <w:rsid w:val="0047797C"/>
    <w:rsid w:val="00477AFC"/>
    <w:rsid w:val="00480E8B"/>
    <w:rsid w:val="00481299"/>
    <w:rsid w:val="0048168D"/>
    <w:rsid w:val="00481765"/>
    <w:rsid w:val="00481827"/>
    <w:rsid w:val="00481E47"/>
    <w:rsid w:val="0048202E"/>
    <w:rsid w:val="0048247D"/>
    <w:rsid w:val="004825CD"/>
    <w:rsid w:val="00482BFC"/>
    <w:rsid w:val="00482C5D"/>
    <w:rsid w:val="00484C1F"/>
    <w:rsid w:val="00484FD9"/>
    <w:rsid w:val="00486632"/>
    <w:rsid w:val="0048692B"/>
    <w:rsid w:val="00487233"/>
    <w:rsid w:val="00487716"/>
    <w:rsid w:val="004878DA"/>
    <w:rsid w:val="00487C04"/>
    <w:rsid w:val="0049023A"/>
    <w:rsid w:val="0049041F"/>
    <w:rsid w:val="00490449"/>
    <w:rsid w:val="00490B3A"/>
    <w:rsid w:val="00490FD5"/>
    <w:rsid w:val="00491185"/>
    <w:rsid w:val="00491DDD"/>
    <w:rsid w:val="00492542"/>
    <w:rsid w:val="00492864"/>
    <w:rsid w:val="00492B1F"/>
    <w:rsid w:val="0049319E"/>
    <w:rsid w:val="004931BB"/>
    <w:rsid w:val="00493618"/>
    <w:rsid w:val="00493649"/>
    <w:rsid w:val="004939AC"/>
    <w:rsid w:val="00493C63"/>
    <w:rsid w:val="00493F7D"/>
    <w:rsid w:val="00493FE4"/>
    <w:rsid w:val="004942DF"/>
    <w:rsid w:val="004943AC"/>
    <w:rsid w:val="00497614"/>
    <w:rsid w:val="00497679"/>
    <w:rsid w:val="004977EF"/>
    <w:rsid w:val="00497CA0"/>
    <w:rsid w:val="00497CE3"/>
    <w:rsid w:val="00497F14"/>
    <w:rsid w:val="004A0309"/>
    <w:rsid w:val="004A030E"/>
    <w:rsid w:val="004A0362"/>
    <w:rsid w:val="004A04A0"/>
    <w:rsid w:val="004A0522"/>
    <w:rsid w:val="004A06BE"/>
    <w:rsid w:val="004A0751"/>
    <w:rsid w:val="004A091F"/>
    <w:rsid w:val="004A0A9C"/>
    <w:rsid w:val="004A0CAD"/>
    <w:rsid w:val="004A0D45"/>
    <w:rsid w:val="004A11C4"/>
    <w:rsid w:val="004A1D05"/>
    <w:rsid w:val="004A1D8C"/>
    <w:rsid w:val="004A1DA8"/>
    <w:rsid w:val="004A2D4D"/>
    <w:rsid w:val="004A32B0"/>
    <w:rsid w:val="004A3ACA"/>
    <w:rsid w:val="004A3D36"/>
    <w:rsid w:val="004A49CA"/>
    <w:rsid w:val="004A49E3"/>
    <w:rsid w:val="004A4C2B"/>
    <w:rsid w:val="004A4C7D"/>
    <w:rsid w:val="004A55E4"/>
    <w:rsid w:val="004A595F"/>
    <w:rsid w:val="004A5A49"/>
    <w:rsid w:val="004A5A8C"/>
    <w:rsid w:val="004A5FC2"/>
    <w:rsid w:val="004A659B"/>
    <w:rsid w:val="004A7554"/>
    <w:rsid w:val="004A7B0D"/>
    <w:rsid w:val="004B00E7"/>
    <w:rsid w:val="004B0F40"/>
    <w:rsid w:val="004B10CA"/>
    <w:rsid w:val="004B1113"/>
    <w:rsid w:val="004B15F8"/>
    <w:rsid w:val="004B1FF0"/>
    <w:rsid w:val="004B2156"/>
    <w:rsid w:val="004B2230"/>
    <w:rsid w:val="004B229B"/>
    <w:rsid w:val="004B22DD"/>
    <w:rsid w:val="004B236E"/>
    <w:rsid w:val="004B2408"/>
    <w:rsid w:val="004B29BE"/>
    <w:rsid w:val="004B368E"/>
    <w:rsid w:val="004B3806"/>
    <w:rsid w:val="004B3D56"/>
    <w:rsid w:val="004B3DDF"/>
    <w:rsid w:val="004B3EBC"/>
    <w:rsid w:val="004B4010"/>
    <w:rsid w:val="004B44CC"/>
    <w:rsid w:val="004B4566"/>
    <w:rsid w:val="004B482E"/>
    <w:rsid w:val="004B5337"/>
    <w:rsid w:val="004B6754"/>
    <w:rsid w:val="004B703B"/>
    <w:rsid w:val="004B70E4"/>
    <w:rsid w:val="004B70FD"/>
    <w:rsid w:val="004B744D"/>
    <w:rsid w:val="004B74EB"/>
    <w:rsid w:val="004B770F"/>
    <w:rsid w:val="004C064C"/>
    <w:rsid w:val="004C09D1"/>
    <w:rsid w:val="004C0DE9"/>
    <w:rsid w:val="004C1489"/>
    <w:rsid w:val="004C1777"/>
    <w:rsid w:val="004C1C47"/>
    <w:rsid w:val="004C24C3"/>
    <w:rsid w:val="004C2554"/>
    <w:rsid w:val="004C2C48"/>
    <w:rsid w:val="004C2C4C"/>
    <w:rsid w:val="004C35CE"/>
    <w:rsid w:val="004C3748"/>
    <w:rsid w:val="004C3AC9"/>
    <w:rsid w:val="004C3C7C"/>
    <w:rsid w:val="004C4334"/>
    <w:rsid w:val="004C4488"/>
    <w:rsid w:val="004C479D"/>
    <w:rsid w:val="004C48AC"/>
    <w:rsid w:val="004C50DE"/>
    <w:rsid w:val="004C561E"/>
    <w:rsid w:val="004C56B6"/>
    <w:rsid w:val="004C590A"/>
    <w:rsid w:val="004C5E14"/>
    <w:rsid w:val="004C689B"/>
    <w:rsid w:val="004C7297"/>
    <w:rsid w:val="004C78EC"/>
    <w:rsid w:val="004C7A93"/>
    <w:rsid w:val="004C7FCD"/>
    <w:rsid w:val="004D004F"/>
    <w:rsid w:val="004D012D"/>
    <w:rsid w:val="004D0180"/>
    <w:rsid w:val="004D0EB1"/>
    <w:rsid w:val="004D0F59"/>
    <w:rsid w:val="004D1486"/>
    <w:rsid w:val="004D14D9"/>
    <w:rsid w:val="004D1933"/>
    <w:rsid w:val="004D23EF"/>
    <w:rsid w:val="004D2789"/>
    <w:rsid w:val="004D2837"/>
    <w:rsid w:val="004D288F"/>
    <w:rsid w:val="004D2942"/>
    <w:rsid w:val="004D29AD"/>
    <w:rsid w:val="004D2BEA"/>
    <w:rsid w:val="004D2D6A"/>
    <w:rsid w:val="004D33FD"/>
    <w:rsid w:val="004D3A6E"/>
    <w:rsid w:val="004D3A8B"/>
    <w:rsid w:val="004D3B68"/>
    <w:rsid w:val="004D3FB9"/>
    <w:rsid w:val="004D41CB"/>
    <w:rsid w:val="004D474C"/>
    <w:rsid w:val="004D4C54"/>
    <w:rsid w:val="004D506E"/>
    <w:rsid w:val="004D5222"/>
    <w:rsid w:val="004D5251"/>
    <w:rsid w:val="004D55A3"/>
    <w:rsid w:val="004D5758"/>
    <w:rsid w:val="004D5B7D"/>
    <w:rsid w:val="004D6C21"/>
    <w:rsid w:val="004D6EA7"/>
    <w:rsid w:val="004D7422"/>
    <w:rsid w:val="004D756B"/>
    <w:rsid w:val="004D75E0"/>
    <w:rsid w:val="004D76B8"/>
    <w:rsid w:val="004D7CB6"/>
    <w:rsid w:val="004E11ED"/>
    <w:rsid w:val="004E1218"/>
    <w:rsid w:val="004E1370"/>
    <w:rsid w:val="004E2317"/>
    <w:rsid w:val="004E27B6"/>
    <w:rsid w:val="004E4670"/>
    <w:rsid w:val="004E48C3"/>
    <w:rsid w:val="004E4B1F"/>
    <w:rsid w:val="004E515E"/>
    <w:rsid w:val="004E536E"/>
    <w:rsid w:val="004E596B"/>
    <w:rsid w:val="004E5E3A"/>
    <w:rsid w:val="004E63B6"/>
    <w:rsid w:val="004E64FA"/>
    <w:rsid w:val="004E66B5"/>
    <w:rsid w:val="004E66FB"/>
    <w:rsid w:val="004E6B20"/>
    <w:rsid w:val="004E6BE1"/>
    <w:rsid w:val="004E7C40"/>
    <w:rsid w:val="004F0399"/>
    <w:rsid w:val="004F03EB"/>
    <w:rsid w:val="004F0469"/>
    <w:rsid w:val="004F1DAF"/>
    <w:rsid w:val="004F2004"/>
    <w:rsid w:val="004F213A"/>
    <w:rsid w:val="004F22A0"/>
    <w:rsid w:val="004F2628"/>
    <w:rsid w:val="004F2B63"/>
    <w:rsid w:val="004F3174"/>
    <w:rsid w:val="004F35F6"/>
    <w:rsid w:val="004F3A94"/>
    <w:rsid w:val="004F3ADC"/>
    <w:rsid w:val="004F3F41"/>
    <w:rsid w:val="004F463F"/>
    <w:rsid w:val="004F4667"/>
    <w:rsid w:val="004F4764"/>
    <w:rsid w:val="004F4949"/>
    <w:rsid w:val="004F4AEB"/>
    <w:rsid w:val="004F4BBA"/>
    <w:rsid w:val="004F4BE4"/>
    <w:rsid w:val="004F4D1E"/>
    <w:rsid w:val="004F51F6"/>
    <w:rsid w:val="004F5439"/>
    <w:rsid w:val="004F5FF6"/>
    <w:rsid w:val="004F64F8"/>
    <w:rsid w:val="004F6972"/>
    <w:rsid w:val="004F6E00"/>
    <w:rsid w:val="004F6E7D"/>
    <w:rsid w:val="004F6F61"/>
    <w:rsid w:val="004F7682"/>
    <w:rsid w:val="004F7927"/>
    <w:rsid w:val="004F7936"/>
    <w:rsid w:val="004F7A8D"/>
    <w:rsid w:val="00500C39"/>
    <w:rsid w:val="00500CF9"/>
    <w:rsid w:val="00500D30"/>
    <w:rsid w:val="0050141D"/>
    <w:rsid w:val="005014F7"/>
    <w:rsid w:val="00501646"/>
    <w:rsid w:val="0050173E"/>
    <w:rsid w:val="0050336A"/>
    <w:rsid w:val="005035F3"/>
    <w:rsid w:val="00503968"/>
    <w:rsid w:val="0050427A"/>
    <w:rsid w:val="005042A6"/>
    <w:rsid w:val="0050477C"/>
    <w:rsid w:val="00504F83"/>
    <w:rsid w:val="00505387"/>
    <w:rsid w:val="005056EC"/>
    <w:rsid w:val="00505DA7"/>
    <w:rsid w:val="00506620"/>
    <w:rsid w:val="005066BF"/>
    <w:rsid w:val="0050695F"/>
    <w:rsid w:val="00506C81"/>
    <w:rsid w:val="00506E5F"/>
    <w:rsid w:val="00507059"/>
    <w:rsid w:val="0050707A"/>
    <w:rsid w:val="005073FC"/>
    <w:rsid w:val="0050767C"/>
    <w:rsid w:val="0050771A"/>
    <w:rsid w:val="00507A8D"/>
    <w:rsid w:val="00507E4D"/>
    <w:rsid w:val="00507EA6"/>
    <w:rsid w:val="00510A93"/>
    <w:rsid w:val="0051123F"/>
    <w:rsid w:val="00511457"/>
    <w:rsid w:val="005115DF"/>
    <w:rsid w:val="00511E9B"/>
    <w:rsid w:val="005123C6"/>
    <w:rsid w:val="00512812"/>
    <w:rsid w:val="00512B5B"/>
    <w:rsid w:val="005136F2"/>
    <w:rsid w:val="00513843"/>
    <w:rsid w:val="00513BFC"/>
    <w:rsid w:val="00514053"/>
    <w:rsid w:val="0051478E"/>
    <w:rsid w:val="005147C1"/>
    <w:rsid w:val="00514899"/>
    <w:rsid w:val="00514BDA"/>
    <w:rsid w:val="00514E23"/>
    <w:rsid w:val="00514EC8"/>
    <w:rsid w:val="005154CE"/>
    <w:rsid w:val="0051576A"/>
    <w:rsid w:val="00516868"/>
    <w:rsid w:val="005169B1"/>
    <w:rsid w:val="00517416"/>
    <w:rsid w:val="00517588"/>
    <w:rsid w:val="00517DFB"/>
    <w:rsid w:val="00520E43"/>
    <w:rsid w:val="00521315"/>
    <w:rsid w:val="005218FD"/>
    <w:rsid w:val="005225B4"/>
    <w:rsid w:val="005227C1"/>
    <w:rsid w:val="0052317D"/>
    <w:rsid w:val="00523726"/>
    <w:rsid w:val="005237BF"/>
    <w:rsid w:val="00523AD2"/>
    <w:rsid w:val="00523B84"/>
    <w:rsid w:val="00523BFD"/>
    <w:rsid w:val="00523C01"/>
    <w:rsid w:val="0052456F"/>
    <w:rsid w:val="005248CB"/>
    <w:rsid w:val="00524910"/>
    <w:rsid w:val="005249B5"/>
    <w:rsid w:val="00524B2F"/>
    <w:rsid w:val="005255BE"/>
    <w:rsid w:val="005256E6"/>
    <w:rsid w:val="00525D98"/>
    <w:rsid w:val="005267EC"/>
    <w:rsid w:val="00526954"/>
    <w:rsid w:val="00526F41"/>
    <w:rsid w:val="0052764C"/>
    <w:rsid w:val="00527991"/>
    <w:rsid w:val="00527E9C"/>
    <w:rsid w:val="00530037"/>
    <w:rsid w:val="00530670"/>
    <w:rsid w:val="00531035"/>
    <w:rsid w:val="005310E3"/>
    <w:rsid w:val="00531147"/>
    <w:rsid w:val="00531CCC"/>
    <w:rsid w:val="00531F2A"/>
    <w:rsid w:val="00532031"/>
    <w:rsid w:val="005321C2"/>
    <w:rsid w:val="005323F3"/>
    <w:rsid w:val="005327BA"/>
    <w:rsid w:val="005329C8"/>
    <w:rsid w:val="00532EFD"/>
    <w:rsid w:val="0053367C"/>
    <w:rsid w:val="005340AF"/>
    <w:rsid w:val="00534134"/>
    <w:rsid w:val="0053417E"/>
    <w:rsid w:val="00534216"/>
    <w:rsid w:val="005344F3"/>
    <w:rsid w:val="005345DD"/>
    <w:rsid w:val="00534C71"/>
    <w:rsid w:val="00535F32"/>
    <w:rsid w:val="00535FFF"/>
    <w:rsid w:val="00536332"/>
    <w:rsid w:val="0053635B"/>
    <w:rsid w:val="0053652D"/>
    <w:rsid w:val="005368D9"/>
    <w:rsid w:val="00536AE7"/>
    <w:rsid w:val="00536B02"/>
    <w:rsid w:val="00536E8C"/>
    <w:rsid w:val="00537938"/>
    <w:rsid w:val="00537B77"/>
    <w:rsid w:val="00537FAF"/>
    <w:rsid w:val="005400BB"/>
    <w:rsid w:val="00540179"/>
    <w:rsid w:val="005401A9"/>
    <w:rsid w:val="0054025D"/>
    <w:rsid w:val="00540410"/>
    <w:rsid w:val="00540B29"/>
    <w:rsid w:val="00541391"/>
    <w:rsid w:val="0054186E"/>
    <w:rsid w:val="005419D6"/>
    <w:rsid w:val="00541A0D"/>
    <w:rsid w:val="00542639"/>
    <w:rsid w:val="005427BE"/>
    <w:rsid w:val="00542972"/>
    <w:rsid w:val="00542B23"/>
    <w:rsid w:val="00543065"/>
    <w:rsid w:val="00543096"/>
    <w:rsid w:val="00543352"/>
    <w:rsid w:val="00543521"/>
    <w:rsid w:val="005436E3"/>
    <w:rsid w:val="00543D7D"/>
    <w:rsid w:val="00543EB3"/>
    <w:rsid w:val="00544528"/>
    <w:rsid w:val="005446D7"/>
    <w:rsid w:val="00544F89"/>
    <w:rsid w:val="00544FDA"/>
    <w:rsid w:val="00545500"/>
    <w:rsid w:val="005455DA"/>
    <w:rsid w:val="00545B14"/>
    <w:rsid w:val="0054624B"/>
    <w:rsid w:val="005464E6"/>
    <w:rsid w:val="00546BBB"/>
    <w:rsid w:val="005474A6"/>
    <w:rsid w:val="0054751F"/>
    <w:rsid w:val="00547661"/>
    <w:rsid w:val="00550E81"/>
    <w:rsid w:val="00551241"/>
    <w:rsid w:val="00551C52"/>
    <w:rsid w:val="00551E0A"/>
    <w:rsid w:val="00552989"/>
    <w:rsid w:val="00552E55"/>
    <w:rsid w:val="0055359E"/>
    <w:rsid w:val="00553D00"/>
    <w:rsid w:val="005544AA"/>
    <w:rsid w:val="005548BC"/>
    <w:rsid w:val="0055492C"/>
    <w:rsid w:val="00554945"/>
    <w:rsid w:val="00554DB3"/>
    <w:rsid w:val="00555785"/>
    <w:rsid w:val="00556F71"/>
    <w:rsid w:val="0055797E"/>
    <w:rsid w:val="005602BB"/>
    <w:rsid w:val="00560554"/>
    <w:rsid w:val="0056091D"/>
    <w:rsid w:val="00560E9B"/>
    <w:rsid w:val="00560EA9"/>
    <w:rsid w:val="00561E51"/>
    <w:rsid w:val="0056212E"/>
    <w:rsid w:val="005629DD"/>
    <w:rsid w:val="00563168"/>
    <w:rsid w:val="005633C5"/>
    <w:rsid w:val="0056360D"/>
    <w:rsid w:val="00563F35"/>
    <w:rsid w:val="005641C9"/>
    <w:rsid w:val="00564213"/>
    <w:rsid w:val="005642CA"/>
    <w:rsid w:val="00564CD6"/>
    <w:rsid w:val="00564DC9"/>
    <w:rsid w:val="0056580C"/>
    <w:rsid w:val="00565D06"/>
    <w:rsid w:val="00566308"/>
    <w:rsid w:val="0056635D"/>
    <w:rsid w:val="005664C0"/>
    <w:rsid w:val="005665F7"/>
    <w:rsid w:val="00566BB3"/>
    <w:rsid w:val="00566C38"/>
    <w:rsid w:val="00567643"/>
    <w:rsid w:val="00567803"/>
    <w:rsid w:val="00567A5B"/>
    <w:rsid w:val="00567BD4"/>
    <w:rsid w:val="00567CD8"/>
    <w:rsid w:val="00567DCB"/>
    <w:rsid w:val="00570120"/>
    <w:rsid w:val="00570793"/>
    <w:rsid w:val="00570821"/>
    <w:rsid w:val="005709A2"/>
    <w:rsid w:val="00570BA6"/>
    <w:rsid w:val="00570ED2"/>
    <w:rsid w:val="0057179F"/>
    <w:rsid w:val="00571D21"/>
    <w:rsid w:val="00571DF9"/>
    <w:rsid w:val="00572060"/>
    <w:rsid w:val="00573293"/>
    <w:rsid w:val="0057445C"/>
    <w:rsid w:val="005747AD"/>
    <w:rsid w:val="00575D41"/>
    <w:rsid w:val="00576798"/>
    <w:rsid w:val="00576C39"/>
    <w:rsid w:val="00576F72"/>
    <w:rsid w:val="0057735E"/>
    <w:rsid w:val="0057739C"/>
    <w:rsid w:val="005773AB"/>
    <w:rsid w:val="0057789E"/>
    <w:rsid w:val="00577DB7"/>
    <w:rsid w:val="005805E6"/>
    <w:rsid w:val="00580674"/>
    <w:rsid w:val="005811A5"/>
    <w:rsid w:val="005819D1"/>
    <w:rsid w:val="00582777"/>
    <w:rsid w:val="00583912"/>
    <w:rsid w:val="00583C79"/>
    <w:rsid w:val="00583D76"/>
    <w:rsid w:val="00584954"/>
    <w:rsid w:val="00584E62"/>
    <w:rsid w:val="0058513D"/>
    <w:rsid w:val="005858AC"/>
    <w:rsid w:val="00585E7A"/>
    <w:rsid w:val="00585F7E"/>
    <w:rsid w:val="00586226"/>
    <w:rsid w:val="0058643A"/>
    <w:rsid w:val="00586C17"/>
    <w:rsid w:val="00586D87"/>
    <w:rsid w:val="00587212"/>
    <w:rsid w:val="00587421"/>
    <w:rsid w:val="0058784E"/>
    <w:rsid w:val="00587A06"/>
    <w:rsid w:val="00587A90"/>
    <w:rsid w:val="00587E78"/>
    <w:rsid w:val="0059003F"/>
    <w:rsid w:val="00590B45"/>
    <w:rsid w:val="00590E4C"/>
    <w:rsid w:val="005912A0"/>
    <w:rsid w:val="00591704"/>
    <w:rsid w:val="0059183C"/>
    <w:rsid w:val="005918D1"/>
    <w:rsid w:val="0059194B"/>
    <w:rsid w:val="00591E63"/>
    <w:rsid w:val="00592761"/>
    <w:rsid w:val="00592882"/>
    <w:rsid w:val="00592950"/>
    <w:rsid w:val="00592FAD"/>
    <w:rsid w:val="00593710"/>
    <w:rsid w:val="00593844"/>
    <w:rsid w:val="0059394E"/>
    <w:rsid w:val="00593950"/>
    <w:rsid w:val="00593F4B"/>
    <w:rsid w:val="00593F7E"/>
    <w:rsid w:val="00594230"/>
    <w:rsid w:val="00594463"/>
    <w:rsid w:val="00594561"/>
    <w:rsid w:val="0059471D"/>
    <w:rsid w:val="00594CD1"/>
    <w:rsid w:val="00595045"/>
    <w:rsid w:val="005950B3"/>
    <w:rsid w:val="00595592"/>
    <w:rsid w:val="005955E0"/>
    <w:rsid w:val="00595818"/>
    <w:rsid w:val="00596BEA"/>
    <w:rsid w:val="00596CD2"/>
    <w:rsid w:val="00596E31"/>
    <w:rsid w:val="00596FE8"/>
    <w:rsid w:val="00597460"/>
    <w:rsid w:val="005977DA"/>
    <w:rsid w:val="005978A9"/>
    <w:rsid w:val="00597A67"/>
    <w:rsid w:val="00597EF3"/>
    <w:rsid w:val="005A0246"/>
    <w:rsid w:val="005A051E"/>
    <w:rsid w:val="005A0B14"/>
    <w:rsid w:val="005A0FFD"/>
    <w:rsid w:val="005A12CD"/>
    <w:rsid w:val="005A19D4"/>
    <w:rsid w:val="005A1CBC"/>
    <w:rsid w:val="005A1EF7"/>
    <w:rsid w:val="005A1F95"/>
    <w:rsid w:val="005A21A0"/>
    <w:rsid w:val="005A23DC"/>
    <w:rsid w:val="005A24FC"/>
    <w:rsid w:val="005A2A0F"/>
    <w:rsid w:val="005A2AFC"/>
    <w:rsid w:val="005A399D"/>
    <w:rsid w:val="005A3ADA"/>
    <w:rsid w:val="005A3DED"/>
    <w:rsid w:val="005A3E45"/>
    <w:rsid w:val="005A3EAF"/>
    <w:rsid w:val="005A4461"/>
    <w:rsid w:val="005A4C9B"/>
    <w:rsid w:val="005A50E1"/>
    <w:rsid w:val="005A5348"/>
    <w:rsid w:val="005A551D"/>
    <w:rsid w:val="005A5535"/>
    <w:rsid w:val="005A5670"/>
    <w:rsid w:val="005A64FB"/>
    <w:rsid w:val="005A6EDF"/>
    <w:rsid w:val="005A7356"/>
    <w:rsid w:val="005A7919"/>
    <w:rsid w:val="005A7D8A"/>
    <w:rsid w:val="005B008C"/>
    <w:rsid w:val="005B00B8"/>
    <w:rsid w:val="005B05A9"/>
    <w:rsid w:val="005B08C6"/>
    <w:rsid w:val="005B0945"/>
    <w:rsid w:val="005B097D"/>
    <w:rsid w:val="005B12A5"/>
    <w:rsid w:val="005B1E90"/>
    <w:rsid w:val="005B1EE0"/>
    <w:rsid w:val="005B2263"/>
    <w:rsid w:val="005B259A"/>
    <w:rsid w:val="005B26B7"/>
    <w:rsid w:val="005B3058"/>
    <w:rsid w:val="005B3488"/>
    <w:rsid w:val="005B35B3"/>
    <w:rsid w:val="005B373B"/>
    <w:rsid w:val="005B39EE"/>
    <w:rsid w:val="005B41B1"/>
    <w:rsid w:val="005B428D"/>
    <w:rsid w:val="005B4822"/>
    <w:rsid w:val="005B5583"/>
    <w:rsid w:val="005B5B42"/>
    <w:rsid w:val="005B5C8B"/>
    <w:rsid w:val="005B5DAB"/>
    <w:rsid w:val="005B6706"/>
    <w:rsid w:val="005B6A54"/>
    <w:rsid w:val="005B75F5"/>
    <w:rsid w:val="005B78CD"/>
    <w:rsid w:val="005C01BB"/>
    <w:rsid w:val="005C0CB0"/>
    <w:rsid w:val="005C115A"/>
    <w:rsid w:val="005C1502"/>
    <w:rsid w:val="005C17BB"/>
    <w:rsid w:val="005C1810"/>
    <w:rsid w:val="005C1D34"/>
    <w:rsid w:val="005C28F3"/>
    <w:rsid w:val="005C2D21"/>
    <w:rsid w:val="005C348E"/>
    <w:rsid w:val="005C37D7"/>
    <w:rsid w:val="005C4562"/>
    <w:rsid w:val="005C49DF"/>
    <w:rsid w:val="005C5BE8"/>
    <w:rsid w:val="005C61C7"/>
    <w:rsid w:val="005C6981"/>
    <w:rsid w:val="005C6D8E"/>
    <w:rsid w:val="005C73FF"/>
    <w:rsid w:val="005C7644"/>
    <w:rsid w:val="005C7B31"/>
    <w:rsid w:val="005D00F2"/>
    <w:rsid w:val="005D015A"/>
    <w:rsid w:val="005D0B47"/>
    <w:rsid w:val="005D0B7D"/>
    <w:rsid w:val="005D0E92"/>
    <w:rsid w:val="005D0E9B"/>
    <w:rsid w:val="005D1733"/>
    <w:rsid w:val="005D1DDD"/>
    <w:rsid w:val="005D2067"/>
    <w:rsid w:val="005D232C"/>
    <w:rsid w:val="005D27D6"/>
    <w:rsid w:val="005D2C95"/>
    <w:rsid w:val="005D2ED2"/>
    <w:rsid w:val="005D3272"/>
    <w:rsid w:val="005D32E7"/>
    <w:rsid w:val="005D3BDC"/>
    <w:rsid w:val="005D402C"/>
    <w:rsid w:val="005D40A9"/>
    <w:rsid w:val="005D43AD"/>
    <w:rsid w:val="005D47CE"/>
    <w:rsid w:val="005D48E7"/>
    <w:rsid w:val="005D5044"/>
    <w:rsid w:val="005D5E82"/>
    <w:rsid w:val="005D61F3"/>
    <w:rsid w:val="005D69D3"/>
    <w:rsid w:val="005D7114"/>
    <w:rsid w:val="005D7C10"/>
    <w:rsid w:val="005E01F2"/>
    <w:rsid w:val="005E038F"/>
    <w:rsid w:val="005E051A"/>
    <w:rsid w:val="005E08EB"/>
    <w:rsid w:val="005E1420"/>
    <w:rsid w:val="005E18CF"/>
    <w:rsid w:val="005E1BFD"/>
    <w:rsid w:val="005E25A1"/>
    <w:rsid w:val="005E3615"/>
    <w:rsid w:val="005E4060"/>
    <w:rsid w:val="005E4B4C"/>
    <w:rsid w:val="005E4CD3"/>
    <w:rsid w:val="005E5DA7"/>
    <w:rsid w:val="005E5F87"/>
    <w:rsid w:val="005E66B4"/>
    <w:rsid w:val="005E6AF6"/>
    <w:rsid w:val="005E6D33"/>
    <w:rsid w:val="005F0753"/>
    <w:rsid w:val="005F0C2F"/>
    <w:rsid w:val="005F1018"/>
    <w:rsid w:val="005F1695"/>
    <w:rsid w:val="005F1A2E"/>
    <w:rsid w:val="005F1D9C"/>
    <w:rsid w:val="005F21D2"/>
    <w:rsid w:val="005F2D6F"/>
    <w:rsid w:val="005F358C"/>
    <w:rsid w:val="005F3AFC"/>
    <w:rsid w:val="005F3BBD"/>
    <w:rsid w:val="005F3D11"/>
    <w:rsid w:val="005F40A6"/>
    <w:rsid w:val="005F42DF"/>
    <w:rsid w:val="005F4491"/>
    <w:rsid w:val="005F4D51"/>
    <w:rsid w:val="005F51F3"/>
    <w:rsid w:val="005F5382"/>
    <w:rsid w:val="005F5EC9"/>
    <w:rsid w:val="005F6713"/>
    <w:rsid w:val="005F7139"/>
    <w:rsid w:val="005F7FDE"/>
    <w:rsid w:val="006002C5"/>
    <w:rsid w:val="00600425"/>
    <w:rsid w:val="006006A4"/>
    <w:rsid w:val="00600F82"/>
    <w:rsid w:val="00600FBC"/>
    <w:rsid w:val="006016B9"/>
    <w:rsid w:val="00601917"/>
    <w:rsid w:val="00601B21"/>
    <w:rsid w:val="00601F63"/>
    <w:rsid w:val="00602F23"/>
    <w:rsid w:val="0060387C"/>
    <w:rsid w:val="00604056"/>
    <w:rsid w:val="00604AD1"/>
    <w:rsid w:val="00604C87"/>
    <w:rsid w:val="0060542B"/>
    <w:rsid w:val="00605A3C"/>
    <w:rsid w:val="00605DD1"/>
    <w:rsid w:val="006063D9"/>
    <w:rsid w:val="00606A34"/>
    <w:rsid w:val="00606FF3"/>
    <w:rsid w:val="00607065"/>
    <w:rsid w:val="00607088"/>
    <w:rsid w:val="0060737C"/>
    <w:rsid w:val="00607752"/>
    <w:rsid w:val="00607786"/>
    <w:rsid w:val="0061017C"/>
    <w:rsid w:val="0061043F"/>
    <w:rsid w:val="006112C5"/>
    <w:rsid w:val="00611548"/>
    <w:rsid w:val="00611FC8"/>
    <w:rsid w:val="00612CFE"/>
    <w:rsid w:val="00612F39"/>
    <w:rsid w:val="00612FB8"/>
    <w:rsid w:val="00613743"/>
    <w:rsid w:val="00613AEB"/>
    <w:rsid w:val="00614067"/>
    <w:rsid w:val="006143AA"/>
    <w:rsid w:val="00614DD1"/>
    <w:rsid w:val="00614E67"/>
    <w:rsid w:val="00614EC4"/>
    <w:rsid w:val="00615557"/>
    <w:rsid w:val="00615915"/>
    <w:rsid w:val="00615D79"/>
    <w:rsid w:val="00616BF1"/>
    <w:rsid w:val="00616D73"/>
    <w:rsid w:val="00617993"/>
    <w:rsid w:val="006179A8"/>
    <w:rsid w:val="00617C98"/>
    <w:rsid w:val="00620E36"/>
    <w:rsid w:val="00621AC3"/>
    <w:rsid w:val="00621E84"/>
    <w:rsid w:val="0062276A"/>
    <w:rsid w:val="006229BD"/>
    <w:rsid w:val="00622B92"/>
    <w:rsid w:val="00622CA2"/>
    <w:rsid w:val="00623BF0"/>
    <w:rsid w:val="00623C0C"/>
    <w:rsid w:val="00623E05"/>
    <w:rsid w:val="00624027"/>
    <w:rsid w:val="00624511"/>
    <w:rsid w:val="00624B01"/>
    <w:rsid w:val="00624EBA"/>
    <w:rsid w:val="00625143"/>
    <w:rsid w:val="006252AA"/>
    <w:rsid w:val="006257B9"/>
    <w:rsid w:val="00625BF8"/>
    <w:rsid w:val="00625FA4"/>
    <w:rsid w:val="00626254"/>
    <w:rsid w:val="0062635D"/>
    <w:rsid w:val="006267A4"/>
    <w:rsid w:val="006267E6"/>
    <w:rsid w:val="006267F3"/>
    <w:rsid w:val="0062793F"/>
    <w:rsid w:val="00627B2D"/>
    <w:rsid w:val="00630005"/>
    <w:rsid w:val="00630BC8"/>
    <w:rsid w:val="00630DE7"/>
    <w:rsid w:val="00631016"/>
    <w:rsid w:val="006315E8"/>
    <w:rsid w:val="0063177F"/>
    <w:rsid w:val="006317B4"/>
    <w:rsid w:val="00631816"/>
    <w:rsid w:val="00632191"/>
    <w:rsid w:val="00632637"/>
    <w:rsid w:val="00632E76"/>
    <w:rsid w:val="0063355C"/>
    <w:rsid w:val="00633F55"/>
    <w:rsid w:val="00634231"/>
    <w:rsid w:val="00634294"/>
    <w:rsid w:val="00634784"/>
    <w:rsid w:val="00634786"/>
    <w:rsid w:val="006348EF"/>
    <w:rsid w:val="006350FE"/>
    <w:rsid w:val="006356C2"/>
    <w:rsid w:val="006357B8"/>
    <w:rsid w:val="00635E40"/>
    <w:rsid w:val="006369DD"/>
    <w:rsid w:val="00636A24"/>
    <w:rsid w:val="00636EEB"/>
    <w:rsid w:val="00640FF5"/>
    <w:rsid w:val="00641984"/>
    <w:rsid w:val="00642691"/>
    <w:rsid w:val="00642A15"/>
    <w:rsid w:val="00643045"/>
    <w:rsid w:val="00643697"/>
    <w:rsid w:val="006438A5"/>
    <w:rsid w:val="00643BD0"/>
    <w:rsid w:val="006440FE"/>
    <w:rsid w:val="006442DF"/>
    <w:rsid w:val="00644A0F"/>
    <w:rsid w:val="00645865"/>
    <w:rsid w:val="00645A32"/>
    <w:rsid w:val="00645CE5"/>
    <w:rsid w:val="00645D3C"/>
    <w:rsid w:val="00645DA5"/>
    <w:rsid w:val="006461B5"/>
    <w:rsid w:val="00646AA2"/>
    <w:rsid w:val="006470E0"/>
    <w:rsid w:val="00647413"/>
    <w:rsid w:val="006509E9"/>
    <w:rsid w:val="00650A5A"/>
    <w:rsid w:val="00650C81"/>
    <w:rsid w:val="00651147"/>
    <w:rsid w:val="00651365"/>
    <w:rsid w:val="006514E3"/>
    <w:rsid w:val="0065167B"/>
    <w:rsid w:val="00651699"/>
    <w:rsid w:val="0065299E"/>
    <w:rsid w:val="00653188"/>
    <w:rsid w:val="00653478"/>
    <w:rsid w:val="00653EDC"/>
    <w:rsid w:val="00654351"/>
    <w:rsid w:val="00654445"/>
    <w:rsid w:val="00654783"/>
    <w:rsid w:val="00654923"/>
    <w:rsid w:val="00654989"/>
    <w:rsid w:val="00654B7B"/>
    <w:rsid w:val="00654DFF"/>
    <w:rsid w:val="00654E4D"/>
    <w:rsid w:val="00654EBA"/>
    <w:rsid w:val="006550BF"/>
    <w:rsid w:val="0065661D"/>
    <w:rsid w:val="0065689F"/>
    <w:rsid w:val="006605DC"/>
    <w:rsid w:val="0066070E"/>
    <w:rsid w:val="006609DB"/>
    <w:rsid w:val="00660E53"/>
    <w:rsid w:val="00660F71"/>
    <w:rsid w:val="006613AC"/>
    <w:rsid w:val="00661452"/>
    <w:rsid w:val="006614E9"/>
    <w:rsid w:val="00661610"/>
    <w:rsid w:val="00661B3F"/>
    <w:rsid w:val="00661E69"/>
    <w:rsid w:val="00662124"/>
    <w:rsid w:val="00662366"/>
    <w:rsid w:val="0066265F"/>
    <w:rsid w:val="00662A3D"/>
    <w:rsid w:val="00662FBB"/>
    <w:rsid w:val="00663046"/>
    <w:rsid w:val="00663D10"/>
    <w:rsid w:val="006646EB"/>
    <w:rsid w:val="0066493A"/>
    <w:rsid w:val="00664C1E"/>
    <w:rsid w:val="0066553D"/>
    <w:rsid w:val="00665DE8"/>
    <w:rsid w:val="00666D84"/>
    <w:rsid w:val="00666DE7"/>
    <w:rsid w:val="00666EE5"/>
    <w:rsid w:val="006674E3"/>
    <w:rsid w:val="00667A94"/>
    <w:rsid w:val="00667BDF"/>
    <w:rsid w:val="006704B6"/>
    <w:rsid w:val="00670B19"/>
    <w:rsid w:val="00670B28"/>
    <w:rsid w:val="00670C8D"/>
    <w:rsid w:val="0067115C"/>
    <w:rsid w:val="00671A32"/>
    <w:rsid w:val="006727DE"/>
    <w:rsid w:val="006735F8"/>
    <w:rsid w:val="00673F7A"/>
    <w:rsid w:val="00674AB9"/>
    <w:rsid w:val="006750F0"/>
    <w:rsid w:val="006751CB"/>
    <w:rsid w:val="006757CC"/>
    <w:rsid w:val="00675D3F"/>
    <w:rsid w:val="006766DD"/>
    <w:rsid w:val="006767E0"/>
    <w:rsid w:val="00676802"/>
    <w:rsid w:val="00676D6D"/>
    <w:rsid w:val="00676EAF"/>
    <w:rsid w:val="00676FF6"/>
    <w:rsid w:val="0067780A"/>
    <w:rsid w:val="00677D5D"/>
    <w:rsid w:val="0068007E"/>
    <w:rsid w:val="006810C7"/>
    <w:rsid w:val="00683166"/>
    <w:rsid w:val="00683D25"/>
    <w:rsid w:val="00683EA4"/>
    <w:rsid w:val="00684095"/>
    <w:rsid w:val="0068422C"/>
    <w:rsid w:val="0068428F"/>
    <w:rsid w:val="006842EE"/>
    <w:rsid w:val="006849BC"/>
    <w:rsid w:val="00684CB4"/>
    <w:rsid w:val="00685207"/>
    <w:rsid w:val="006858B6"/>
    <w:rsid w:val="00685987"/>
    <w:rsid w:val="00685DB6"/>
    <w:rsid w:val="00685FDB"/>
    <w:rsid w:val="00686230"/>
    <w:rsid w:val="00686487"/>
    <w:rsid w:val="00686ED6"/>
    <w:rsid w:val="00686F73"/>
    <w:rsid w:val="00687228"/>
    <w:rsid w:val="0068746B"/>
    <w:rsid w:val="00687750"/>
    <w:rsid w:val="00687E34"/>
    <w:rsid w:val="00687EF3"/>
    <w:rsid w:val="00687F21"/>
    <w:rsid w:val="00690187"/>
    <w:rsid w:val="006907C1"/>
    <w:rsid w:val="006912EC"/>
    <w:rsid w:val="0069143D"/>
    <w:rsid w:val="0069163F"/>
    <w:rsid w:val="006918BC"/>
    <w:rsid w:val="006918F7"/>
    <w:rsid w:val="00691AC4"/>
    <w:rsid w:val="00691C09"/>
    <w:rsid w:val="00691D28"/>
    <w:rsid w:val="006926AD"/>
    <w:rsid w:val="0069275D"/>
    <w:rsid w:val="006927BD"/>
    <w:rsid w:val="00692B33"/>
    <w:rsid w:val="00692D4E"/>
    <w:rsid w:val="0069320B"/>
    <w:rsid w:val="0069361A"/>
    <w:rsid w:val="00694345"/>
    <w:rsid w:val="006943A6"/>
    <w:rsid w:val="0069479D"/>
    <w:rsid w:val="0069480F"/>
    <w:rsid w:val="006949E4"/>
    <w:rsid w:val="00694C15"/>
    <w:rsid w:val="00694C18"/>
    <w:rsid w:val="00695D43"/>
    <w:rsid w:val="006966A6"/>
    <w:rsid w:val="006969F7"/>
    <w:rsid w:val="0069742E"/>
    <w:rsid w:val="0069755E"/>
    <w:rsid w:val="0069757F"/>
    <w:rsid w:val="00697635"/>
    <w:rsid w:val="00697A0B"/>
    <w:rsid w:val="00697CA8"/>
    <w:rsid w:val="006A02B1"/>
    <w:rsid w:val="006A0DB8"/>
    <w:rsid w:val="006A0F69"/>
    <w:rsid w:val="006A14B6"/>
    <w:rsid w:val="006A18BC"/>
    <w:rsid w:val="006A1989"/>
    <w:rsid w:val="006A19C6"/>
    <w:rsid w:val="006A1CE2"/>
    <w:rsid w:val="006A26A1"/>
    <w:rsid w:val="006A320D"/>
    <w:rsid w:val="006A379B"/>
    <w:rsid w:val="006A3994"/>
    <w:rsid w:val="006A3DF0"/>
    <w:rsid w:val="006A4166"/>
    <w:rsid w:val="006A4232"/>
    <w:rsid w:val="006A4632"/>
    <w:rsid w:val="006A5B5D"/>
    <w:rsid w:val="006A5BEE"/>
    <w:rsid w:val="006A60D1"/>
    <w:rsid w:val="006A61AD"/>
    <w:rsid w:val="006A644E"/>
    <w:rsid w:val="006A6910"/>
    <w:rsid w:val="006A7214"/>
    <w:rsid w:val="006A7915"/>
    <w:rsid w:val="006B0479"/>
    <w:rsid w:val="006B0BE6"/>
    <w:rsid w:val="006B0E17"/>
    <w:rsid w:val="006B1814"/>
    <w:rsid w:val="006B1A06"/>
    <w:rsid w:val="006B1D94"/>
    <w:rsid w:val="006B2369"/>
    <w:rsid w:val="006B23AE"/>
    <w:rsid w:val="006B2C3D"/>
    <w:rsid w:val="006B2DC0"/>
    <w:rsid w:val="006B320B"/>
    <w:rsid w:val="006B32DF"/>
    <w:rsid w:val="006B3797"/>
    <w:rsid w:val="006B3B08"/>
    <w:rsid w:val="006B40C4"/>
    <w:rsid w:val="006B43DA"/>
    <w:rsid w:val="006B5918"/>
    <w:rsid w:val="006B5AC6"/>
    <w:rsid w:val="006B6CB4"/>
    <w:rsid w:val="006B6EE7"/>
    <w:rsid w:val="006B736C"/>
    <w:rsid w:val="006B7927"/>
    <w:rsid w:val="006B7FA1"/>
    <w:rsid w:val="006C08AA"/>
    <w:rsid w:val="006C13D3"/>
    <w:rsid w:val="006C1512"/>
    <w:rsid w:val="006C19EE"/>
    <w:rsid w:val="006C29AC"/>
    <w:rsid w:val="006C2F7F"/>
    <w:rsid w:val="006C3016"/>
    <w:rsid w:val="006C32D9"/>
    <w:rsid w:val="006C4293"/>
    <w:rsid w:val="006C4550"/>
    <w:rsid w:val="006C47A0"/>
    <w:rsid w:val="006C4CD9"/>
    <w:rsid w:val="006C4ED2"/>
    <w:rsid w:val="006C5066"/>
    <w:rsid w:val="006C5233"/>
    <w:rsid w:val="006C5E4D"/>
    <w:rsid w:val="006C64E0"/>
    <w:rsid w:val="006C65F8"/>
    <w:rsid w:val="006C6748"/>
    <w:rsid w:val="006C68E4"/>
    <w:rsid w:val="006C6CA8"/>
    <w:rsid w:val="006C7015"/>
    <w:rsid w:val="006C734B"/>
    <w:rsid w:val="006C7BFC"/>
    <w:rsid w:val="006D1139"/>
    <w:rsid w:val="006D1E28"/>
    <w:rsid w:val="006D1F9E"/>
    <w:rsid w:val="006D2307"/>
    <w:rsid w:val="006D2A4F"/>
    <w:rsid w:val="006D2BAE"/>
    <w:rsid w:val="006D2C6B"/>
    <w:rsid w:val="006D2DDF"/>
    <w:rsid w:val="006D304C"/>
    <w:rsid w:val="006D37B7"/>
    <w:rsid w:val="006D3B8E"/>
    <w:rsid w:val="006D3ECF"/>
    <w:rsid w:val="006D42D5"/>
    <w:rsid w:val="006D481F"/>
    <w:rsid w:val="006D4A64"/>
    <w:rsid w:val="006D4F1D"/>
    <w:rsid w:val="006D5233"/>
    <w:rsid w:val="006D5791"/>
    <w:rsid w:val="006D593B"/>
    <w:rsid w:val="006D5B6E"/>
    <w:rsid w:val="006D5C14"/>
    <w:rsid w:val="006D5F73"/>
    <w:rsid w:val="006D61CB"/>
    <w:rsid w:val="006D6515"/>
    <w:rsid w:val="006D7958"/>
    <w:rsid w:val="006D79D7"/>
    <w:rsid w:val="006D7A0D"/>
    <w:rsid w:val="006D7CC4"/>
    <w:rsid w:val="006D7E9F"/>
    <w:rsid w:val="006E0AB5"/>
    <w:rsid w:val="006E0BA9"/>
    <w:rsid w:val="006E165C"/>
    <w:rsid w:val="006E19EC"/>
    <w:rsid w:val="006E1C54"/>
    <w:rsid w:val="006E1C66"/>
    <w:rsid w:val="006E1F38"/>
    <w:rsid w:val="006E22FD"/>
    <w:rsid w:val="006E280F"/>
    <w:rsid w:val="006E2901"/>
    <w:rsid w:val="006E2F8E"/>
    <w:rsid w:val="006E320B"/>
    <w:rsid w:val="006E34D5"/>
    <w:rsid w:val="006E47E9"/>
    <w:rsid w:val="006E48BF"/>
    <w:rsid w:val="006E4DFB"/>
    <w:rsid w:val="006E5B16"/>
    <w:rsid w:val="006E6BB4"/>
    <w:rsid w:val="006E6FED"/>
    <w:rsid w:val="006E7955"/>
    <w:rsid w:val="006E7970"/>
    <w:rsid w:val="006E7C29"/>
    <w:rsid w:val="006F062D"/>
    <w:rsid w:val="006F10CE"/>
    <w:rsid w:val="006F130F"/>
    <w:rsid w:val="006F1D63"/>
    <w:rsid w:val="006F1DCD"/>
    <w:rsid w:val="006F1FA6"/>
    <w:rsid w:val="006F2F9A"/>
    <w:rsid w:val="006F345C"/>
    <w:rsid w:val="006F42CE"/>
    <w:rsid w:val="006F4643"/>
    <w:rsid w:val="006F46C8"/>
    <w:rsid w:val="006F4F66"/>
    <w:rsid w:val="006F5835"/>
    <w:rsid w:val="006F584D"/>
    <w:rsid w:val="006F5FD4"/>
    <w:rsid w:val="006F647B"/>
    <w:rsid w:val="006F6A73"/>
    <w:rsid w:val="006F6C66"/>
    <w:rsid w:val="006F6D49"/>
    <w:rsid w:val="006F7062"/>
    <w:rsid w:val="006F74FD"/>
    <w:rsid w:val="006F7CC9"/>
    <w:rsid w:val="00700830"/>
    <w:rsid w:val="007015AD"/>
    <w:rsid w:val="00702A25"/>
    <w:rsid w:val="00702DE9"/>
    <w:rsid w:val="00702F0D"/>
    <w:rsid w:val="007033AA"/>
    <w:rsid w:val="007036C3"/>
    <w:rsid w:val="00703927"/>
    <w:rsid w:val="00703A64"/>
    <w:rsid w:val="00703E2A"/>
    <w:rsid w:val="00703EFC"/>
    <w:rsid w:val="00704691"/>
    <w:rsid w:val="007047D6"/>
    <w:rsid w:val="00704C64"/>
    <w:rsid w:val="00704D51"/>
    <w:rsid w:val="0070505E"/>
    <w:rsid w:val="00705897"/>
    <w:rsid w:val="00706388"/>
    <w:rsid w:val="00706831"/>
    <w:rsid w:val="00707A27"/>
    <w:rsid w:val="007101C5"/>
    <w:rsid w:val="00710921"/>
    <w:rsid w:val="00711110"/>
    <w:rsid w:val="0071232C"/>
    <w:rsid w:val="00712B56"/>
    <w:rsid w:val="00712CFA"/>
    <w:rsid w:val="00712E90"/>
    <w:rsid w:val="0071380F"/>
    <w:rsid w:val="00713C96"/>
    <w:rsid w:val="00713EC6"/>
    <w:rsid w:val="00714694"/>
    <w:rsid w:val="00714997"/>
    <w:rsid w:val="00714A5E"/>
    <w:rsid w:val="00714C63"/>
    <w:rsid w:val="00714D3A"/>
    <w:rsid w:val="00714FA7"/>
    <w:rsid w:val="00715409"/>
    <w:rsid w:val="00715562"/>
    <w:rsid w:val="00715A90"/>
    <w:rsid w:val="00715AB3"/>
    <w:rsid w:val="007161A0"/>
    <w:rsid w:val="00716480"/>
    <w:rsid w:val="00717169"/>
    <w:rsid w:val="007177BB"/>
    <w:rsid w:val="00717BB6"/>
    <w:rsid w:val="0072026B"/>
    <w:rsid w:val="007203CC"/>
    <w:rsid w:val="00720545"/>
    <w:rsid w:val="00720740"/>
    <w:rsid w:val="00720B58"/>
    <w:rsid w:val="00720D63"/>
    <w:rsid w:val="00720FDF"/>
    <w:rsid w:val="00721114"/>
    <w:rsid w:val="0072171D"/>
    <w:rsid w:val="00721CB6"/>
    <w:rsid w:val="00721E30"/>
    <w:rsid w:val="0072293B"/>
    <w:rsid w:val="00722BC7"/>
    <w:rsid w:val="00722D2D"/>
    <w:rsid w:val="00723763"/>
    <w:rsid w:val="00723E38"/>
    <w:rsid w:val="00724556"/>
    <w:rsid w:val="00724562"/>
    <w:rsid w:val="00724729"/>
    <w:rsid w:val="00724CA4"/>
    <w:rsid w:val="00724D9A"/>
    <w:rsid w:val="00725496"/>
    <w:rsid w:val="00725FFB"/>
    <w:rsid w:val="00726131"/>
    <w:rsid w:val="00726151"/>
    <w:rsid w:val="00726503"/>
    <w:rsid w:val="007266D2"/>
    <w:rsid w:val="00726C30"/>
    <w:rsid w:val="00726F2E"/>
    <w:rsid w:val="00727917"/>
    <w:rsid w:val="00727C35"/>
    <w:rsid w:val="00730081"/>
    <w:rsid w:val="00730141"/>
    <w:rsid w:val="00730A97"/>
    <w:rsid w:val="00730F5A"/>
    <w:rsid w:val="0073110E"/>
    <w:rsid w:val="007312BB"/>
    <w:rsid w:val="007313B8"/>
    <w:rsid w:val="007314E1"/>
    <w:rsid w:val="00731FAC"/>
    <w:rsid w:val="0073214F"/>
    <w:rsid w:val="0073336B"/>
    <w:rsid w:val="00733453"/>
    <w:rsid w:val="00733EE9"/>
    <w:rsid w:val="00734292"/>
    <w:rsid w:val="00734708"/>
    <w:rsid w:val="0073480E"/>
    <w:rsid w:val="007349DA"/>
    <w:rsid w:val="00734C3D"/>
    <w:rsid w:val="007350D7"/>
    <w:rsid w:val="00735589"/>
    <w:rsid w:val="00735A7E"/>
    <w:rsid w:val="00735FEC"/>
    <w:rsid w:val="00736229"/>
    <w:rsid w:val="00736B1C"/>
    <w:rsid w:val="00736B26"/>
    <w:rsid w:val="0073792F"/>
    <w:rsid w:val="00737A7A"/>
    <w:rsid w:val="00740143"/>
    <w:rsid w:val="00740AA0"/>
    <w:rsid w:val="007413A0"/>
    <w:rsid w:val="00741804"/>
    <w:rsid w:val="007427EF"/>
    <w:rsid w:val="00742A94"/>
    <w:rsid w:val="00743193"/>
    <w:rsid w:val="007433DD"/>
    <w:rsid w:val="007434B0"/>
    <w:rsid w:val="007435D3"/>
    <w:rsid w:val="00743A4A"/>
    <w:rsid w:val="00743CAB"/>
    <w:rsid w:val="00744212"/>
    <w:rsid w:val="007447AF"/>
    <w:rsid w:val="007448A1"/>
    <w:rsid w:val="00745803"/>
    <w:rsid w:val="00745E61"/>
    <w:rsid w:val="00745FBE"/>
    <w:rsid w:val="0074615C"/>
    <w:rsid w:val="007465F8"/>
    <w:rsid w:val="00746660"/>
    <w:rsid w:val="0074666C"/>
    <w:rsid w:val="00746B51"/>
    <w:rsid w:val="0074773A"/>
    <w:rsid w:val="00747B30"/>
    <w:rsid w:val="007509DD"/>
    <w:rsid w:val="00750A4F"/>
    <w:rsid w:val="00751708"/>
    <w:rsid w:val="007518DF"/>
    <w:rsid w:val="00751D22"/>
    <w:rsid w:val="00752A22"/>
    <w:rsid w:val="00752D65"/>
    <w:rsid w:val="00752FCD"/>
    <w:rsid w:val="00753330"/>
    <w:rsid w:val="007537E5"/>
    <w:rsid w:val="00753AD2"/>
    <w:rsid w:val="00753E5B"/>
    <w:rsid w:val="007542E8"/>
    <w:rsid w:val="00754301"/>
    <w:rsid w:val="0075437F"/>
    <w:rsid w:val="007544B6"/>
    <w:rsid w:val="007545E4"/>
    <w:rsid w:val="00754D0C"/>
    <w:rsid w:val="00754D1E"/>
    <w:rsid w:val="00755675"/>
    <w:rsid w:val="007557BD"/>
    <w:rsid w:val="00755832"/>
    <w:rsid w:val="00755AED"/>
    <w:rsid w:val="00756155"/>
    <w:rsid w:val="00756A99"/>
    <w:rsid w:val="00756D2F"/>
    <w:rsid w:val="00757027"/>
    <w:rsid w:val="00757298"/>
    <w:rsid w:val="00757417"/>
    <w:rsid w:val="007579EF"/>
    <w:rsid w:val="00757BC5"/>
    <w:rsid w:val="00757E05"/>
    <w:rsid w:val="007606F2"/>
    <w:rsid w:val="00760B5F"/>
    <w:rsid w:val="00760EB9"/>
    <w:rsid w:val="00761369"/>
    <w:rsid w:val="007615FC"/>
    <w:rsid w:val="00761B58"/>
    <w:rsid w:val="00761DEF"/>
    <w:rsid w:val="00761F61"/>
    <w:rsid w:val="00762674"/>
    <w:rsid w:val="00762DBB"/>
    <w:rsid w:val="00763777"/>
    <w:rsid w:val="0076394A"/>
    <w:rsid w:val="00763BBD"/>
    <w:rsid w:val="00763CB1"/>
    <w:rsid w:val="00763D80"/>
    <w:rsid w:val="007644CC"/>
    <w:rsid w:val="00765191"/>
    <w:rsid w:val="00765376"/>
    <w:rsid w:val="00765699"/>
    <w:rsid w:val="007658A6"/>
    <w:rsid w:val="00765961"/>
    <w:rsid w:val="00765CEC"/>
    <w:rsid w:val="00765F87"/>
    <w:rsid w:val="007660E2"/>
    <w:rsid w:val="00766499"/>
    <w:rsid w:val="00767F43"/>
    <w:rsid w:val="007703A6"/>
    <w:rsid w:val="00770408"/>
    <w:rsid w:val="007704C1"/>
    <w:rsid w:val="00770540"/>
    <w:rsid w:val="00770AD9"/>
    <w:rsid w:val="00770FB7"/>
    <w:rsid w:val="00771496"/>
    <w:rsid w:val="00771610"/>
    <w:rsid w:val="00771D93"/>
    <w:rsid w:val="00771EDC"/>
    <w:rsid w:val="007722E9"/>
    <w:rsid w:val="0077230A"/>
    <w:rsid w:val="0077232B"/>
    <w:rsid w:val="00772A74"/>
    <w:rsid w:val="00772B03"/>
    <w:rsid w:val="0077394D"/>
    <w:rsid w:val="00773A71"/>
    <w:rsid w:val="00773AA2"/>
    <w:rsid w:val="00773B66"/>
    <w:rsid w:val="00773B76"/>
    <w:rsid w:val="007744D5"/>
    <w:rsid w:val="00774867"/>
    <w:rsid w:val="00775326"/>
    <w:rsid w:val="007758EF"/>
    <w:rsid w:val="0077660D"/>
    <w:rsid w:val="00776667"/>
    <w:rsid w:val="00776722"/>
    <w:rsid w:val="00776A3C"/>
    <w:rsid w:val="00776CB9"/>
    <w:rsid w:val="0077706B"/>
    <w:rsid w:val="007773D2"/>
    <w:rsid w:val="00777691"/>
    <w:rsid w:val="00777822"/>
    <w:rsid w:val="007805FC"/>
    <w:rsid w:val="00780D26"/>
    <w:rsid w:val="0078189E"/>
    <w:rsid w:val="0078215D"/>
    <w:rsid w:val="0078259C"/>
    <w:rsid w:val="00783684"/>
    <w:rsid w:val="0078369F"/>
    <w:rsid w:val="007839AF"/>
    <w:rsid w:val="00784107"/>
    <w:rsid w:val="00784693"/>
    <w:rsid w:val="007850D3"/>
    <w:rsid w:val="00785466"/>
    <w:rsid w:val="00785F9A"/>
    <w:rsid w:val="00786047"/>
    <w:rsid w:val="0078636F"/>
    <w:rsid w:val="00786770"/>
    <w:rsid w:val="00786A08"/>
    <w:rsid w:val="00786E18"/>
    <w:rsid w:val="00787100"/>
    <w:rsid w:val="00787961"/>
    <w:rsid w:val="00787A5E"/>
    <w:rsid w:val="00790022"/>
    <w:rsid w:val="0079048C"/>
    <w:rsid w:val="007906EA"/>
    <w:rsid w:val="00790AB1"/>
    <w:rsid w:val="00790FAB"/>
    <w:rsid w:val="00791202"/>
    <w:rsid w:val="007912FC"/>
    <w:rsid w:val="00791515"/>
    <w:rsid w:val="007916AE"/>
    <w:rsid w:val="0079171A"/>
    <w:rsid w:val="00792139"/>
    <w:rsid w:val="007921A5"/>
    <w:rsid w:val="00792262"/>
    <w:rsid w:val="00792270"/>
    <w:rsid w:val="00792684"/>
    <w:rsid w:val="00792BA5"/>
    <w:rsid w:val="00792D22"/>
    <w:rsid w:val="00792F26"/>
    <w:rsid w:val="0079355B"/>
    <w:rsid w:val="0079370E"/>
    <w:rsid w:val="00793E51"/>
    <w:rsid w:val="00793F51"/>
    <w:rsid w:val="007942FD"/>
    <w:rsid w:val="007949D9"/>
    <w:rsid w:val="00794B01"/>
    <w:rsid w:val="007959C6"/>
    <w:rsid w:val="00795B67"/>
    <w:rsid w:val="00795E48"/>
    <w:rsid w:val="007961A3"/>
    <w:rsid w:val="00796808"/>
    <w:rsid w:val="007969FC"/>
    <w:rsid w:val="00796B8E"/>
    <w:rsid w:val="00796D7B"/>
    <w:rsid w:val="00796FE9"/>
    <w:rsid w:val="00797771"/>
    <w:rsid w:val="00797B5B"/>
    <w:rsid w:val="007A030A"/>
    <w:rsid w:val="007A039E"/>
    <w:rsid w:val="007A0680"/>
    <w:rsid w:val="007A0ACD"/>
    <w:rsid w:val="007A0D74"/>
    <w:rsid w:val="007A14F6"/>
    <w:rsid w:val="007A17E6"/>
    <w:rsid w:val="007A232D"/>
    <w:rsid w:val="007A2830"/>
    <w:rsid w:val="007A2A96"/>
    <w:rsid w:val="007A2B40"/>
    <w:rsid w:val="007A2CF3"/>
    <w:rsid w:val="007A2E9B"/>
    <w:rsid w:val="007A345D"/>
    <w:rsid w:val="007A3DA8"/>
    <w:rsid w:val="007A3F2B"/>
    <w:rsid w:val="007A439F"/>
    <w:rsid w:val="007A47F5"/>
    <w:rsid w:val="007A490C"/>
    <w:rsid w:val="007A4A02"/>
    <w:rsid w:val="007A4D19"/>
    <w:rsid w:val="007A515B"/>
    <w:rsid w:val="007A53B0"/>
    <w:rsid w:val="007A591D"/>
    <w:rsid w:val="007A62A3"/>
    <w:rsid w:val="007A6307"/>
    <w:rsid w:val="007A672F"/>
    <w:rsid w:val="007A6816"/>
    <w:rsid w:val="007A7089"/>
    <w:rsid w:val="007A712B"/>
    <w:rsid w:val="007A7406"/>
    <w:rsid w:val="007A7882"/>
    <w:rsid w:val="007A7E40"/>
    <w:rsid w:val="007A7EF8"/>
    <w:rsid w:val="007B007F"/>
    <w:rsid w:val="007B0126"/>
    <w:rsid w:val="007B0659"/>
    <w:rsid w:val="007B073E"/>
    <w:rsid w:val="007B09DE"/>
    <w:rsid w:val="007B0A99"/>
    <w:rsid w:val="007B0BD6"/>
    <w:rsid w:val="007B0CDF"/>
    <w:rsid w:val="007B0D59"/>
    <w:rsid w:val="007B0F41"/>
    <w:rsid w:val="007B1000"/>
    <w:rsid w:val="007B1035"/>
    <w:rsid w:val="007B15B7"/>
    <w:rsid w:val="007B164C"/>
    <w:rsid w:val="007B2311"/>
    <w:rsid w:val="007B33C7"/>
    <w:rsid w:val="007B37E7"/>
    <w:rsid w:val="007B466A"/>
    <w:rsid w:val="007B470C"/>
    <w:rsid w:val="007B478D"/>
    <w:rsid w:val="007B4BFB"/>
    <w:rsid w:val="007B4DC8"/>
    <w:rsid w:val="007B501C"/>
    <w:rsid w:val="007B5A25"/>
    <w:rsid w:val="007B5F70"/>
    <w:rsid w:val="007B64B0"/>
    <w:rsid w:val="007B6EFE"/>
    <w:rsid w:val="007B70AF"/>
    <w:rsid w:val="007B73B2"/>
    <w:rsid w:val="007B7612"/>
    <w:rsid w:val="007B787B"/>
    <w:rsid w:val="007B7D77"/>
    <w:rsid w:val="007B7DB1"/>
    <w:rsid w:val="007C0279"/>
    <w:rsid w:val="007C09C1"/>
    <w:rsid w:val="007C13AC"/>
    <w:rsid w:val="007C13D4"/>
    <w:rsid w:val="007C1610"/>
    <w:rsid w:val="007C1890"/>
    <w:rsid w:val="007C1A4F"/>
    <w:rsid w:val="007C2074"/>
    <w:rsid w:val="007C20FB"/>
    <w:rsid w:val="007C2555"/>
    <w:rsid w:val="007C26AF"/>
    <w:rsid w:val="007C2C05"/>
    <w:rsid w:val="007C2FBF"/>
    <w:rsid w:val="007C384C"/>
    <w:rsid w:val="007C3C16"/>
    <w:rsid w:val="007C49F1"/>
    <w:rsid w:val="007C4A06"/>
    <w:rsid w:val="007C5420"/>
    <w:rsid w:val="007C5D45"/>
    <w:rsid w:val="007C5E94"/>
    <w:rsid w:val="007C5F6A"/>
    <w:rsid w:val="007C6395"/>
    <w:rsid w:val="007C7AFF"/>
    <w:rsid w:val="007C7FB5"/>
    <w:rsid w:val="007D062C"/>
    <w:rsid w:val="007D06C0"/>
    <w:rsid w:val="007D081B"/>
    <w:rsid w:val="007D0F48"/>
    <w:rsid w:val="007D16BF"/>
    <w:rsid w:val="007D18DC"/>
    <w:rsid w:val="007D24F6"/>
    <w:rsid w:val="007D2840"/>
    <w:rsid w:val="007D2C52"/>
    <w:rsid w:val="007D2C8F"/>
    <w:rsid w:val="007D2DD7"/>
    <w:rsid w:val="007D2F90"/>
    <w:rsid w:val="007D2FFF"/>
    <w:rsid w:val="007D3375"/>
    <w:rsid w:val="007D37F3"/>
    <w:rsid w:val="007D3A80"/>
    <w:rsid w:val="007D488A"/>
    <w:rsid w:val="007D4E35"/>
    <w:rsid w:val="007D5747"/>
    <w:rsid w:val="007D576D"/>
    <w:rsid w:val="007D5853"/>
    <w:rsid w:val="007D58C6"/>
    <w:rsid w:val="007D5A85"/>
    <w:rsid w:val="007D5B58"/>
    <w:rsid w:val="007D5BBE"/>
    <w:rsid w:val="007D6433"/>
    <w:rsid w:val="007D773B"/>
    <w:rsid w:val="007D7C8B"/>
    <w:rsid w:val="007E0470"/>
    <w:rsid w:val="007E05FA"/>
    <w:rsid w:val="007E0EB6"/>
    <w:rsid w:val="007E0F84"/>
    <w:rsid w:val="007E15FA"/>
    <w:rsid w:val="007E1874"/>
    <w:rsid w:val="007E2570"/>
    <w:rsid w:val="007E2761"/>
    <w:rsid w:val="007E2B1B"/>
    <w:rsid w:val="007E2D1A"/>
    <w:rsid w:val="007E2E77"/>
    <w:rsid w:val="007E30F6"/>
    <w:rsid w:val="007E33DD"/>
    <w:rsid w:val="007E4777"/>
    <w:rsid w:val="007E4935"/>
    <w:rsid w:val="007E4E07"/>
    <w:rsid w:val="007E4F40"/>
    <w:rsid w:val="007E5095"/>
    <w:rsid w:val="007E55B3"/>
    <w:rsid w:val="007E56BE"/>
    <w:rsid w:val="007E5D98"/>
    <w:rsid w:val="007E6345"/>
    <w:rsid w:val="007E66E0"/>
    <w:rsid w:val="007E6A57"/>
    <w:rsid w:val="007E6F31"/>
    <w:rsid w:val="007E6F9D"/>
    <w:rsid w:val="007E75B0"/>
    <w:rsid w:val="007E77C5"/>
    <w:rsid w:val="007E7A4A"/>
    <w:rsid w:val="007E7E08"/>
    <w:rsid w:val="007F0223"/>
    <w:rsid w:val="007F098D"/>
    <w:rsid w:val="007F17F4"/>
    <w:rsid w:val="007F1EC6"/>
    <w:rsid w:val="007F24CB"/>
    <w:rsid w:val="007F3B76"/>
    <w:rsid w:val="007F3EF9"/>
    <w:rsid w:val="007F4277"/>
    <w:rsid w:val="007F5D67"/>
    <w:rsid w:val="007F5E4E"/>
    <w:rsid w:val="007F5EEC"/>
    <w:rsid w:val="007F60C0"/>
    <w:rsid w:val="007F6105"/>
    <w:rsid w:val="007F63C7"/>
    <w:rsid w:val="007F673F"/>
    <w:rsid w:val="007F69BD"/>
    <w:rsid w:val="007F6AE8"/>
    <w:rsid w:val="007F6CAD"/>
    <w:rsid w:val="007F6E09"/>
    <w:rsid w:val="007F6E5A"/>
    <w:rsid w:val="007F7DC7"/>
    <w:rsid w:val="007F7F3C"/>
    <w:rsid w:val="00800423"/>
    <w:rsid w:val="0080087A"/>
    <w:rsid w:val="00800A20"/>
    <w:rsid w:val="00800C87"/>
    <w:rsid w:val="00800DE0"/>
    <w:rsid w:val="00801A00"/>
    <w:rsid w:val="00801AAF"/>
    <w:rsid w:val="00801BBB"/>
    <w:rsid w:val="00801EF5"/>
    <w:rsid w:val="00801F3D"/>
    <w:rsid w:val="00802656"/>
    <w:rsid w:val="00802AB0"/>
    <w:rsid w:val="00802C36"/>
    <w:rsid w:val="00802C64"/>
    <w:rsid w:val="00802D5D"/>
    <w:rsid w:val="00802E20"/>
    <w:rsid w:val="00802F38"/>
    <w:rsid w:val="0080384B"/>
    <w:rsid w:val="008039DD"/>
    <w:rsid w:val="00803EB9"/>
    <w:rsid w:val="00804614"/>
    <w:rsid w:val="00804F47"/>
    <w:rsid w:val="00805667"/>
    <w:rsid w:val="008057FA"/>
    <w:rsid w:val="00805C58"/>
    <w:rsid w:val="00806103"/>
    <w:rsid w:val="008065B8"/>
    <w:rsid w:val="00806AC8"/>
    <w:rsid w:val="0080764F"/>
    <w:rsid w:val="00807DD6"/>
    <w:rsid w:val="00811147"/>
    <w:rsid w:val="0081145A"/>
    <w:rsid w:val="00812128"/>
    <w:rsid w:val="00812DE1"/>
    <w:rsid w:val="00812E11"/>
    <w:rsid w:val="0081302E"/>
    <w:rsid w:val="008130F2"/>
    <w:rsid w:val="00813F09"/>
    <w:rsid w:val="00814301"/>
    <w:rsid w:val="008145E4"/>
    <w:rsid w:val="008146BD"/>
    <w:rsid w:val="0081494E"/>
    <w:rsid w:val="00814F0B"/>
    <w:rsid w:val="00814F42"/>
    <w:rsid w:val="008155F0"/>
    <w:rsid w:val="00815BF6"/>
    <w:rsid w:val="00815D66"/>
    <w:rsid w:val="00815E9D"/>
    <w:rsid w:val="008161CF"/>
    <w:rsid w:val="00816301"/>
    <w:rsid w:val="00816885"/>
    <w:rsid w:val="00817037"/>
    <w:rsid w:val="00817370"/>
    <w:rsid w:val="00817566"/>
    <w:rsid w:val="00817936"/>
    <w:rsid w:val="00820721"/>
    <w:rsid w:val="00820A9E"/>
    <w:rsid w:val="00820DA2"/>
    <w:rsid w:val="0082130A"/>
    <w:rsid w:val="00821752"/>
    <w:rsid w:val="00821E3C"/>
    <w:rsid w:val="00822013"/>
    <w:rsid w:val="00822440"/>
    <w:rsid w:val="008226A7"/>
    <w:rsid w:val="00822E47"/>
    <w:rsid w:val="00822E8B"/>
    <w:rsid w:val="00822ED4"/>
    <w:rsid w:val="0082355C"/>
    <w:rsid w:val="0082386C"/>
    <w:rsid w:val="00823C63"/>
    <w:rsid w:val="008242BD"/>
    <w:rsid w:val="00824B8B"/>
    <w:rsid w:val="00824C9E"/>
    <w:rsid w:val="00824D13"/>
    <w:rsid w:val="00825274"/>
    <w:rsid w:val="0082599B"/>
    <w:rsid w:val="00825A46"/>
    <w:rsid w:val="0082676A"/>
    <w:rsid w:val="00826EDA"/>
    <w:rsid w:val="00827077"/>
    <w:rsid w:val="00827172"/>
    <w:rsid w:val="00827607"/>
    <w:rsid w:val="00827919"/>
    <w:rsid w:val="0082798F"/>
    <w:rsid w:val="00827A17"/>
    <w:rsid w:val="00827C38"/>
    <w:rsid w:val="008302E1"/>
    <w:rsid w:val="00830548"/>
    <w:rsid w:val="008308BE"/>
    <w:rsid w:val="00830C44"/>
    <w:rsid w:val="008312A5"/>
    <w:rsid w:val="008312E0"/>
    <w:rsid w:val="0083168E"/>
    <w:rsid w:val="008317CF"/>
    <w:rsid w:val="008320C4"/>
    <w:rsid w:val="00832651"/>
    <w:rsid w:val="00832769"/>
    <w:rsid w:val="00832774"/>
    <w:rsid w:val="008327E0"/>
    <w:rsid w:val="008329AE"/>
    <w:rsid w:val="00832BBD"/>
    <w:rsid w:val="00832E20"/>
    <w:rsid w:val="00833130"/>
    <w:rsid w:val="00833447"/>
    <w:rsid w:val="00833543"/>
    <w:rsid w:val="0083358F"/>
    <w:rsid w:val="00833735"/>
    <w:rsid w:val="0083373D"/>
    <w:rsid w:val="00834439"/>
    <w:rsid w:val="008348A3"/>
    <w:rsid w:val="00835032"/>
    <w:rsid w:val="0083518B"/>
    <w:rsid w:val="00835593"/>
    <w:rsid w:val="008355C5"/>
    <w:rsid w:val="008356A4"/>
    <w:rsid w:val="00835AEE"/>
    <w:rsid w:val="00835CA7"/>
    <w:rsid w:val="0083613C"/>
    <w:rsid w:val="008362B5"/>
    <w:rsid w:val="00836B5B"/>
    <w:rsid w:val="00837401"/>
    <w:rsid w:val="00837ACB"/>
    <w:rsid w:val="0084077F"/>
    <w:rsid w:val="0084095A"/>
    <w:rsid w:val="00840A8F"/>
    <w:rsid w:val="00840E74"/>
    <w:rsid w:val="008415A4"/>
    <w:rsid w:val="00841F95"/>
    <w:rsid w:val="008423FA"/>
    <w:rsid w:val="008427FA"/>
    <w:rsid w:val="00842999"/>
    <w:rsid w:val="00842D41"/>
    <w:rsid w:val="00843162"/>
    <w:rsid w:val="00843969"/>
    <w:rsid w:val="00843B65"/>
    <w:rsid w:val="00843D83"/>
    <w:rsid w:val="00843EF8"/>
    <w:rsid w:val="008441B0"/>
    <w:rsid w:val="00844402"/>
    <w:rsid w:val="00844425"/>
    <w:rsid w:val="0084449C"/>
    <w:rsid w:val="0084461C"/>
    <w:rsid w:val="008448A3"/>
    <w:rsid w:val="00845222"/>
    <w:rsid w:val="0084559F"/>
    <w:rsid w:val="00845AB6"/>
    <w:rsid w:val="00845B2A"/>
    <w:rsid w:val="00845F1C"/>
    <w:rsid w:val="00845FCD"/>
    <w:rsid w:val="00846504"/>
    <w:rsid w:val="008466A7"/>
    <w:rsid w:val="00847132"/>
    <w:rsid w:val="00847AB0"/>
    <w:rsid w:val="00850096"/>
    <w:rsid w:val="008501AB"/>
    <w:rsid w:val="00850F9E"/>
    <w:rsid w:val="00851400"/>
    <w:rsid w:val="00851509"/>
    <w:rsid w:val="008518A2"/>
    <w:rsid w:val="00851AFA"/>
    <w:rsid w:val="00851C62"/>
    <w:rsid w:val="00851D52"/>
    <w:rsid w:val="00851DDE"/>
    <w:rsid w:val="00852B71"/>
    <w:rsid w:val="0085331E"/>
    <w:rsid w:val="008535BB"/>
    <w:rsid w:val="0085391B"/>
    <w:rsid w:val="00853952"/>
    <w:rsid w:val="00853A3B"/>
    <w:rsid w:val="00853BBC"/>
    <w:rsid w:val="00853DF1"/>
    <w:rsid w:val="00854378"/>
    <w:rsid w:val="00854A65"/>
    <w:rsid w:val="00854D87"/>
    <w:rsid w:val="00854F73"/>
    <w:rsid w:val="00854F96"/>
    <w:rsid w:val="00854FCE"/>
    <w:rsid w:val="0085502D"/>
    <w:rsid w:val="00855110"/>
    <w:rsid w:val="0085600F"/>
    <w:rsid w:val="0085621A"/>
    <w:rsid w:val="0085629A"/>
    <w:rsid w:val="008565FF"/>
    <w:rsid w:val="00857131"/>
    <w:rsid w:val="00857732"/>
    <w:rsid w:val="00857EB6"/>
    <w:rsid w:val="00857FCB"/>
    <w:rsid w:val="008604F2"/>
    <w:rsid w:val="00860B44"/>
    <w:rsid w:val="0086184C"/>
    <w:rsid w:val="008619D7"/>
    <w:rsid w:val="00861BB1"/>
    <w:rsid w:val="00861BE5"/>
    <w:rsid w:val="00861EDA"/>
    <w:rsid w:val="0086287A"/>
    <w:rsid w:val="00862DE4"/>
    <w:rsid w:val="00862F10"/>
    <w:rsid w:val="008631E3"/>
    <w:rsid w:val="008637A1"/>
    <w:rsid w:val="00863804"/>
    <w:rsid w:val="00863885"/>
    <w:rsid w:val="008639D5"/>
    <w:rsid w:val="00863C7D"/>
    <w:rsid w:val="00863DE2"/>
    <w:rsid w:val="00863F0D"/>
    <w:rsid w:val="008643DF"/>
    <w:rsid w:val="00864564"/>
    <w:rsid w:val="0086497B"/>
    <w:rsid w:val="008651EB"/>
    <w:rsid w:val="00865D65"/>
    <w:rsid w:val="008669DA"/>
    <w:rsid w:val="00866A20"/>
    <w:rsid w:val="00866A6C"/>
    <w:rsid w:val="00866D44"/>
    <w:rsid w:val="008670F7"/>
    <w:rsid w:val="00867258"/>
    <w:rsid w:val="0086737A"/>
    <w:rsid w:val="00867681"/>
    <w:rsid w:val="00867714"/>
    <w:rsid w:val="0087009F"/>
    <w:rsid w:val="00870DDB"/>
    <w:rsid w:val="00870EF4"/>
    <w:rsid w:val="00870F66"/>
    <w:rsid w:val="00871801"/>
    <w:rsid w:val="00871D4F"/>
    <w:rsid w:val="00872467"/>
    <w:rsid w:val="00872702"/>
    <w:rsid w:val="00872720"/>
    <w:rsid w:val="00872803"/>
    <w:rsid w:val="00872AC9"/>
    <w:rsid w:val="008739A4"/>
    <w:rsid w:val="00874325"/>
    <w:rsid w:val="008745C4"/>
    <w:rsid w:val="008746EF"/>
    <w:rsid w:val="008747C6"/>
    <w:rsid w:val="00874896"/>
    <w:rsid w:val="00874D68"/>
    <w:rsid w:val="00874E89"/>
    <w:rsid w:val="00875114"/>
    <w:rsid w:val="00875782"/>
    <w:rsid w:val="008757B1"/>
    <w:rsid w:val="00875909"/>
    <w:rsid w:val="008800B0"/>
    <w:rsid w:val="008805A3"/>
    <w:rsid w:val="0088101F"/>
    <w:rsid w:val="00881B9A"/>
    <w:rsid w:val="00881E95"/>
    <w:rsid w:val="008828D3"/>
    <w:rsid w:val="00882A9D"/>
    <w:rsid w:val="008835E4"/>
    <w:rsid w:val="008840BB"/>
    <w:rsid w:val="008840D9"/>
    <w:rsid w:val="00884628"/>
    <w:rsid w:val="008849B6"/>
    <w:rsid w:val="00884E05"/>
    <w:rsid w:val="00884E47"/>
    <w:rsid w:val="0088516F"/>
    <w:rsid w:val="00885443"/>
    <w:rsid w:val="008859E8"/>
    <w:rsid w:val="00885EF1"/>
    <w:rsid w:val="00886658"/>
    <w:rsid w:val="00886AD1"/>
    <w:rsid w:val="00886B27"/>
    <w:rsid w:val="00886BA5"/>
    <w:rsid w:val="00886BBC"/>
    <w:rsid w:val="008874BF"/>
    <w:rsid w:val="0088753B"/>
    <w:rsid w:val="008876CE"/>
    <w:rsid w:val="00887BD4"/>
    <w:rsid w:val="00887DA0"/>
    <w:rsid w:val="00887E18"/>
    <w:rsid w:val="00887E51"/>
    <w:rsid w:val="00887EBB"/>
    <w:rsid w:val="008900C0"/>
    <w:rsid w:val="0089078B"/>
    <w:rsid w:val="00890F05"/>
    <w:rsid w:val="008913DC"/>
    <w:rsid w:val="0089162F"/>
    <w:rsid w:val="00891B82"/>
    <w:rsid w:val="00891BDD"/>
    <w:rsid w:val="00891CAB"/>
    <w:rsid w:val="00892168"/>
    <w:rsid w:val="00892234"/>
    <w:rsid w:val="0089239F"/>
    <w:rsid w:val="008925A7"/>
    <w:rsid w:val="008932FA"/>
    <w:rsid w:val="00893545"/>
    <w:rsid w:val="00893566"/>
    <w:rsid w:val="00893580"/>
    <w:rsid w:val="00893C65"/>
    <w:rsid w:val="008941DC"/>
    <w:rsid w:val="008946FF"/>
    <w:rsid w:val="00894CA6"/>
    <w:rsid w:val="008957A4"/>
    <w:rsid w:val="008958BC"/>
    <w:rsid w:val="00895A17"/>
    <w:rsid w:val="00895FE4"/>
    <w:rsid w:val="00897024"/>
    <w:rsid w:val="00897325"/>
    <w:rsid w:val="00897988"/>
    <w:rsid w:val="008A06E4"/>
    <w:rsid w:val="008A0CCE"/>
    <w:rsid w:val="008A11AC"/>
    <w:rsid w:val="008A1263"/>
    <w:rsid w:val="008A1497"/>
    <w:rsid w:val="008A1520"/>
    <w:rsid w:val="008A1801"/>
    <w:rsid w:val="008A1902"/>
    <w:rsid w:val="008A25AC"/>
    <w:rsid w:val="008A2604"/>
    <w:rsid w:val="008A2672"/>
    <w:rsid w:val="008A382A"/>
    <w:rsid w:val="008A3992"/>
    <w:rsid w:val="008A4466"/>
    <w:rsid w:val="008A4F07"/>
    <w:rsid w:val="008A5E54"/>
    <w:rsid w:val="008A60CF"/>
    <w:rsid w:val="008A65B7"/>
    <w:rsid w:val="008A6A1B"/>
    <w:rsid w:val="008A6D18"/>
    <w:rsid w:val="008B19EC"/>
    <w:rsid w:val="008B1F9D"/>
    <w:rsid w:val="008B222F"/>
    <w:rsid w:val="008B36C6"/>
    <w:rsid w:val="008B3AFB"/>
    <w:rsid w:val="008B3B92"/>
    <w:rsid w:val="008B3D59"/>
    <w:rsid w:val="008B3F2A"/>
    <w:rsid w:val="008B3F82"/>
    <w:rsid w:val="008B4487"/>
    <w:rsid w:val="008B456E"/>
    <w:rsid w:val="008B4929"/>
    <w:rsid w:val="008B4A35"/>
    <w:rsid w:val="008B4B76"/>
    <w:rsid w:val="008B4B7D"/>
    <w:rsid w:val="008B4DC4"/>
    <w:rsid w:val="008B55D1"/>
    <w:rsid w:val="008B58F0"/>
    <w:rsid w:val="008B61B3"/>
    <w:rsid w:val="008B656D"/>
    <w:rsid w:val="008B6769"/>
    <w:rsid w:val="008B6EE5"/>
    <w:rsid w:val="008B73D7"/>
    <w:rsid w:val="008B7996"/>
    <w:rsid w:val="008B7FBF"/>
    <w:rsid w:val="008C03A9"/>
    <w:rsid w:val="008C051A"/>
    <w:rsid w:val="008C093F"/>
    <w:rsid w:val="008C0C74"/>
    <w:rsid w:val="008C0DCF"/>
    <w:rsid w:val="008C0DD1"/>
    <w:rsid w:val="008C0EA4"/>
    <w:rsid w:val="008C1188"/>
    <w:rsid w:val="008C1358"/>
    <w:rsid w:val="008C159B"/>
    <w:rsid w:val="008C284A"/>
    <w:rsid w:val="008C2B0C"/>
    <w:rsid w:val="008C2E16"/>
    <w:rsid w:val="008C2E37"/>
    <w:rsid w:val="008C2FEC"/>
    <w:rsid w:val="008C322B"/>
    <w:rsid w:val="008C358B"/>
    <w:rsid w:val="008C37E7"/>
    <w:rsid w:val="008C39D0"/>
    <w:rsid w:val="008C3A47"/>
    <w:rsid w:val="008C4C19"/>
    <w:rsid w:val="008C4EC2"/>
    <w:rsid w:val="008C50A0"/>
    <w:rsid w:val="008C5CD8"/>
    <w:rsid w:val="008C5D23"/>
    <w:rsid w:val="008C66BD"/>
    <w:rsid w:val="008C6858"/>
    <w:rsid w:val="008C6A65"/>
    <w:rsid w:val="008C74E6"/>
    <w:rsid w:val="008C77D4"/>
    <w:rsid w:val="008C77F9"/>
    <w:rsid w:val="008C7C22"/>
    <w:rsid w:val="008C7CB5"/>
    <w:rsid w:val="008C7D84"/>
    <w:rsid w:val="008D0104"/>
    <w:rsid w:val="008D0251"/>
    <w:rsid w:val="008D0649"/>
    <w:rsid w:val="008D0802"/>
    <w:rsid w:val="008D08EE"/>
    <w:rsid w:val="008D1558"/>
    <w:rsid w:val="008D15B4"/>
    <w:rsid w:val="008D2AB0"/>
    <w:rsid w:val="008D2F4C"/>
    <w:rsid w:val="008D2F77"/>
    <w:rsid w:val="008D31EE"/>
    <w:rsid w:val="008D3406"/>
    <w:rsid w:val="008D343F"/>
    <w:rsid w:val="008D3819"/>
    <w:rsid w:val="008D397F"/>
    <w:rsid w:val="008D3AC6"/>
    <w:rsid w:val="008D3CF4"/>
    <w:rsid w:val="008D42A8"/>
    <w:rsid w:val="008D4A25"/>
    <w:rsid w:val="008D4B42"/>
    <w:rsid w:val="008D4CD4"/>
    <w:rsid w:val="008D4D65"/>
    <w:rsid w:val="008D4DD2"/>
    <w:rsid w:val="008D4DE7"/>
    <w:rsid w:val="008D4F86"/>
    <w:rsid w:val="008D53AB"/>
    <w:rsid w:val="008D6685"/>
    <w:rsid w:val="008D66E9"/>
    <w:rsid w:val="008D695A"/>
    <w:rsid w:val="008D6ABF"/>
    <w:rsid w:val="008D6ED3"/>
    <w:rsid w:val="008D7377"/>
    <w:rsid w:val="008D75A7"/>
    <w:rsid w:val="008D7768"/>
    <w:rsid w:val="008D7F87"/>
    <w:rsid w:val="008E059A"/>
    <w:rsid w:val="008E0639"/>
    <w:rsid w:val="008E092C"/>
    <w:rsid w:val="008E0A28"/>
    <w:rsid w:val="008E0C7E"/>
    <w:rsid w:val="008E0E88"/>
    <w:rsid w:val="008E11DF"/>
    <w:rsid w:val="008E138C"/>
    <w:rsid w:val="008E14FC"/>
    <w:rsid w:val="008E197D"/>
    <w:rsid w:val="008E25EB"/>
    <w:rsid w:val="008E2893"/>
    <w:rsid w:val="008E2DF8"/>
    <w:rsid w:val="008E32AF"/>
    <w:rsid w:val="008E3B18"/>
    <w:rsid w:val="008E4AAE"/>
    <w:rsid w:val="008E5B8C"/>
    <w:rsid w:val="008E632A"/>
    <w:rsid w:val="008E6807"/>
    <w:rsid w:val="008E6C51"/>
    <w:rsid w:val="008E6DA1"/>
    <w:rsid w:val="008E6E80"/>
    <w:rsid w:val="008E72B7"/>
    <w:rsid w:val="008E72E4"/>
    <w:rsid w:val="008E773B"/>
    <w:rsid w:val="008E77B8"/>
    <w:rsid w:val="008F0131"/>
    <w:rsid w:val="008F0617"/>
    <w:rsid w:val="008F0850"/>
    <w:rsid w:val="008F09F7"/>
    <w:rsid w:val="008F0FB0"/>
    <w:rsid w:val="008F2311"/>
    <w:rsid w:val="008F2483"/>
    <w:rsid w:val="008F25BA"/>
    <w:rsid w:val="008F269D"/>
    <w:rsid w:val="008F2F70"/>
    <w:rsid w:val="008F2FCD"/>
    <w:rsid w:val="008F35A6"/>
    <w:rsid w:val="008F3A06"/>
    <w:rsid w:val="008F4951"/>
    <w:rsid w:val="008F5154"/>
    <w:rsid w:val="008F5415"/>
    <w:rsid w:val="008F56E9"/>
    <w:rsid w:val="008F5AC1"/>
    <w:rsid w:val="008F5D98"/>
    <w:rsid w:val="008F5EDE"/>
    <w:rsid w:val="008F6123"/>
    <w:rsid w:val="008F61BF"/>
    <w:rsid w:val="008F6530"/>
    <w:rsid w:val="008F68FE"/>
    <w:rsid w:val="008F6BFB"/>
    <w:rsid w:val="008F7C81"/>
    <w:rsid w:val="008F7DB0"/>
    <w:rsid w:val="0090017D"/>
    <w:rsid w:val="0090076C"/>
    <w:rsid w:val="009008E3"/>
    <w:rsid w:val="0090100C"/>
    <w:rsid w:val="0090155F"/>
    <w:rsid w:val="00901A33"/>
    <w:rsid w:val="00901AAD"/>
    <w:rsid w:val="00902466"/>
    <w:rsid w:val="009026AF"/>
    <w:rsid w:val="00902E4B"/>
    <w:rsid w:val="00902E85"/>
    <w:rsid w:val="00904027"/>
    <w:rsid w:val="00904518"/>
    <w:rsid w:val="00904A95"/>
    <w:rsid w:val="00904C09"/>
    <w:rsid w:val="00904F2B"/>
    <w:rsid w:val="00904FC6"/>
    <w:rsid w:val="00905215"/>
    <w:rsid w:val="00905C82"/>
    <w:rsid w:val="009069CF"/>
    <w:rsid w:val="00906C12"/>
    <w:rsid w:val="00906C62"/>
    <w:rsid w:val="00906DA5"/>
    <w:rsid w:val="00907340"/>
    <w:rsid w:val="009074F1"/>
    <w:rsid w:val="00907842"/>
    <w:rsid w:val="00907B9E"/>
    <w:rsid w:val="009100B0"/>
    <w:rsid w:val="009109FA"/>
    <w:rsid w:val="00911293"/>
    <w:rsid w:val="00911651"/>
    <w:rsid w:val="00911E9A"/>
    <w:rsid w:val="009126FE"/>
    <w:rsid w:val="0091281D"/>
    <w:rsid w:val="00912EDE"/>
    <w:rsid w:val="0091381C"/>
    <w:rsid w:val="00913BDC"/>
    <w:rsid w:val="009147FC"/>
    <w:rsid w:val="009156BF"/>
    <w:rsid w:val="00915B07"/>
    <w:rsid w:val="00916107"/>
    <w:rsid w:val="009162C9"/>
    <w:rsid w:val="00916FDD"/>
    <w:rsid w:val="00917169"/>
    <w:rsid w:val="00917378"/>
    <w:rsid w:val="009178D4"/>
    <w:rsid w:val="00917BAA"/>
    <w:rsid w:val="009204EA"/>
    <w:rsid w:val="009205DE"/>
    <w:rsid w:val="00920BF8"/>
    <w:rsid w:val="00921267"/>
    <w:rsid w:val="009222D3"/>
    <w:rsid w:val="00923204"/>
    <w:rsid w:val="0092364A"/>
    <w:rsid w:val="00923795"/>
    <w:rsid w:val="009239B4"/>
    <w:rsid w:val="00924164"/>
    <w:rsid w:val="00924619"/>
    <w:rsid w:val="00924DDA"/>
    <w:rsid w:val="00924F2F"/>
    <w:rsid w:val="009253B2"/>
    <w:rsid w:val="009253DF"/>
    <w:rsid w:val="0092599A"/>
    <w:rsid w:val="00925DED"/>
    <w:rsid w:val="00926BDB"/>
    <w:rsid w:val="009274B6"/>
    <w:rsid w:val="009274F4"/>
    <w:rsid w:val="009305E5"/>
    <w:rsid w:val="009308F5"/>
    <w:rsid w:val="00930E30"/>
    <w:rsid w:val="00931B59"/>
    <w:rsid w:val="00931E24"/>
    <w:rsid w:val="009321FC"/>
    <w:rsid w:val="00932265"/>
    <w:rsid w:val="0093297C"/>
    <w:rsid w:val="009330FD"/>
    <w:rsid w:val="009333A8"/>
    <w:rsid w:val="00933A7A"/>
    <w:rsid w:val="00933C01"/>
    <w:rsid w:val="00933F8D"/>
    <w:rsid w:val="00934995"/>
    <w:rsid w:val="00934A77"/>
    <w:rsid w:val="00934E43"/>
    <w:rsid w:val="009352B3"/>
    <w:rsid w:val="009356EB"/>
    <w:rsid w:val="00936186"/>
    <w:rsid w:val="0093621E"/>
    <w:rsid w:val="0093637D"/>
    <w:rsid w:val="00936438"/>
    <w:rsid w:val="00936538"/>
    <w:rsid w:val="00937893"/>
    <w:rsid w:val="009405CD"/>
    <w:rsid w:val="009426E5"/>
    <w:rsid w:val="0094305A"/>
    <w:rsid w:val="00943239"/>
    <w:rsid w:val="00943A4E"/>
    <w:rsid w:val="00943CBD"/>
    <w:rsid w:val="00943CDE"/>
    <w:rsid w:val="00943E3A"/>
    <w:rsid w:val="009443C7"/>
    <w:rsid w:val="009447C2"/>
    <w:rsid w:val="00944E4B"/>
    <w:rsid w:val="009450AC"/>
    <w:rsid w:val="009450D5"/>
    <w:rsid w:val="009459F7"/>
    <w:rsid w:val="00945D19"/>
    <w:rsid w:val="00945DAF"/>
    <w:rsid w:val="00945FD2"/>
    <w:rsid w:val="0094638D"/>
    <w:rsid w:val="009464CD"/>
    <w:rsid w:val="009464D6"/>
    <w:rsid w:val="009465FD"/>
    <w:rsid w:val="00946809"/>
    <w:rsid w:val="00946FDA"/>
    <w:rsid w:val="009472F8"/>
    <w:rsid w:val="009473FC"/>
    <w:rsid w:val="009476DA"/>
    <w:rsid w:val="00947A13"/>
    <w:rsid w:val="00947D46"/>
    <w:rsid w:val="00950AC6"/>
    <w:rsid w:val="00950C90"/>
    <w:rsid w:val="0095104E"/>
    <w:rsid w:val="009512A2"/>
    <w:rsid w:val="009512FD"/>
    <w:rsid w:val="0095166D"/>
    <w:rsid w:val="00951B5F"/>
    <w:rsid w:val="00951B82"/>
    <w:rsid w:val="009521EB"/>
    <w:rsid w:val="00952B32"/>
    <w:rsid w:val="00952FA1"/>
    <w:rsid w:val="00952FDD"/>
    <w:rsid w:val="00953315"/>
    <w:rsid w:val="009539A7"/>
    <w:rsid w:val="00953EC7"/>
    <w:rsid w:val="00953F62"/>
    <w:rsid w:val="0095466A"/>
    <w:rsid w:val="00954857"/>
    <w:rsid w:val="009549BD"/>
    <w:rsid w:val="00954B18"/>
    <w:rsid w:val="009552E5"/>
    <w:rsid w:val="0095546C"/>
    <w:rsid w:val="009554BA"/>
    <w:rsid w:val="00955699"/>
    <w:rsid w:val="00955A18"/>
    <w:rsid w:val="00955C94"/>
    <w:rsid w:val="00955D26"/>
    <w:rsid w:val="00955DD1"/>
    <w:rsid w:val="0095607F"/>
    <w:rsid w:val="0095675C"/>
    <w:rsid w:val="009568DC"/>
    <w:rsid w:val="00957895"/>
    <w:rsid w:val="00960117"/>
    <w:rsid w:val="009601D8"/>
    <w:rsid w:val="009606B0"/>
    <w:rsid w:val="00960B64"/>
    <w:rsid w:val="00960B93"/>
    <w:rsid w:val="0096121E"/>
    <w:rsid w:val="009615B1"/>
    <w:rsid w:val="00961DDC"/>
    <w:rsid w:val="00962457"/>
    <w:rsid w:val="009625D5"/>
    <w:rsid w:val="009628BA"/>
    <w:rsid w:val="00962972"/>
    <w:rsid w:val="00963015"/>
    <w:rsid w:val="009641CE"/>
    <w:rsid w:val="0096435E"/>
    <w:rsid w:val="009645D9"/>
    <w:rsid w:val="009649B5"/>
    <w:rsid w:val="00964D01"/>
    <w:rsid w:val="00964FA5"/>
    <w:rsid w:val="00965520"/>
    <w:rsid w:val="0096578D"/>
    <w:rsid w:val="00965ADD"/>
    <w:rsid w:val="00966302"/>
    <w:rsid w:val="00967B55"/>
    <w:rsid w:val="00967C37"/>
    <w:rsid w:val="00967CC3"/>
    <w:rsid w:val="009701E1"/>
    <w:rsid w:val="009704CE"/>
    <w:rsid w:val="00970AED"/>
    <w:rsid w:val="009711BF"/>
    <w:rsid w:val="009717E1"/>
    <w:rsid w:val="0097197A"/>
    <w:rsid w:val="00971F1A"/>
    <w:rsid w:val="00971F96"/>
    <w:rsid w:val="00971FBB"/>
    <w:rsid w:val="009723CC"/>
    <w:rsid w:val="0097246B"/>
    <w:rsid w:val="009725B9"/>
    <w:rsid w:val="009729C8"/>
    <w:rsid w:val="00972A2E"/>
    <w:rsid w:val="00972E98"/>
    <w:rsid w:val="00973CE7"/>
    <w:rsid w:val="00973D05"/>
    <w:rsid w:val="00974021"/>
    <w:rsid w:val="00974072"/>
    <w:rsid w:val="00974226"/>
    <w:rsid w:val="00974430"/>
    <w:rsid w:val="00974C04"/>
    <w:rsid w:val="00974CE4"/>
    <w:rsid w:val="009753A7"/>
    <w:rsid w:val="009759C4"/>
    <w:rsid w:val="00975EF1"/>
    <w:rsid w:val="00976EC9"/>
    <w:rsid w:val="00976EEB"/>
    <w:rsid w:val="00977DC6"/>
    <w:rsid w:val="009803D2"/>
    <w:rsid w:val="00980E3D"/>
    <w:rsid w:val="0098189A"/>
    <w:rsid w:val="00981C37"/>
    <w:rsid w:val="00982B83"/>
    <w:rsid w:val="00983081"/>
    <w:rsid w:val="009837F1"/>
    <w:rsid w:val="00984521"/>
    <w:rsid w:val="00984826"/>
    <w:rsid w:val="00984AE9"/>
    <w:rsid w:val="00984F18"/>
    <w:rsid w:val="0098559C"/>
    <w:rsid w:val="00985FAB"/>
    <w:rsid w:val="009861E0"/>
    <w:rsid w:val="00986B2F"/>
    <w:rsid w:val="00986CEF"/>
    <w:rsid w:val="00986FC7"/>
    <w:rsid w:val="00987087"/>
    <w:rsid w:val="00987E9B"/>
    <w:rsid w:val="00987F3A"/>
    <w:rsid w:val="00990372"/>
    <w:rsid w:val="00990415"/>
    <w:rsid w:val="009910A9"/>
    <w:rsid w:val="009918EA"/>
    <w:rsid w:val="00991C7E"/>
    <w:rsid w:val="00991D16"/>
    <w:rsid w:val="0099223A"/>
    <w:rsid w:val="00992F18"/>
    <w:rsid w:val="00993159"/>
    <w:rsid w:val="00993386"/>
    <w:rsid w:val="009935C6"/>
    <w:rsid w:val="0099385A"/>
    <w:rsid w:val="00993ABA"/>
    <w:rsid w:val="00993E2E"/>
    <w:rsid w:val="00993F65"/>
    <w:rsid w:val="0099470E"/>
    <w:rsid w:val="00994EA9"/>
    <w:rsid w:val="00994F58"/>
    <w:rsid w:val="00995488"/>
    <w:rsid w:val="00995837"/>
    <w:rsid w:val="00995ABD"/>
    <w:rsid w:val="00995B7F"/>
    <w:rsid w:val="00995C35"/>
    <w:rsid w:val="0099629F"/>
    <w:rsid w:val="009966B2"/>
    <w:rsid w:val="009968D0"/>
    <w:rsid w:val="009972C4"/>
    <w:rsid w:val="00997425"/>
    <w:rsid w:val="00997512"/>
    <w:rsid w:val="0099754A"/>
    <w:rsid w:val="00997972"/>
    <w:rsid w:val="00997BF6"/>
    <w:rsid w:val="009A0055"/>
    <w:rsid w:val="009A02B6"/>
    <w:rsid w:val="009A0952"/>
    <w:rsid w:val="009A0EAC"/>
    <w:rsid w:val="009A129B"/>
    <w:rsid w:val="009A1457"/>
    <w:rsid w:val="009A1771"/>
    <w:rsid w:val="009A1BCE"/>
    <w:rsid w:val="009A22C9"/>
    <w:rsid w:val="009A2425"/>
    <w:rsid w:val="009A2545"/>
    <w:rsid w:val="009A266D"/>
    <w:rsid w:val="009A3525"/>
    <w:rsid w:val="009A475F"/>
    <w:rsid w:val="009A4AE4"/>
    <w:rsid w:val="009A4EEF"/>
    <w:rsid w:val="009A54C9"/>
    <w:rsid w:val="009A5840"/>
    <w:rsid w:val="009A63B6"/>
    <w:rsid w:val="009A63C6"/>
    <w:rsid w:val="009A67DC"/>
    <w:rsid w:val="009A6BB4"/>
    <w:rsid w:val="009A6DCC"/>
    <w:rsid w:val="009A7255"/>
    <w:rsid w:val="009A7E35"/>
    <w:rsid w:val="009B045D"/>
    <w:rsid w:val="009B0A24"/>
    <w:rsid w:val="009B0EB6"/>
    <w:rsid w:val="009B15A7"/>
    <w:rsid w:val="009B1F72"/>
    <w:rsid w:val="009B2617"/>
    <w:rsid w:val="009B299E"/>
    <w:rsid w:val="009B2BB7"/>
    <w:rsid w:val="009B2E12"/>
    <w:rsid w:val="009B35F1"/>
    <w:rsid w:val="009B39FD"/>
    <w:rsid w:val="009B3A58"/>
    <w:rsid w:val="009B3C1E"/>
    <w:rsid w:val="009B40EA"/>
    <w:rsid w:val="009B5103"/>
    <w:rsid w:val="009B5D5C"/>
    <w:rsid w:val="009B622B"/>
    <w:rsid w:val="009B62E8"/>
    <w:rsid w:val="009B6540"/>
    <w:rsid w:val="009B67E2"/>
    <w:rsid w:val="009B77C5"/>
    <w:rsid w:val="009B7DC8"/>
    <w:rsid w:val="009B7F51"/>
    <w:rsid w:val="009C0122"/>
    <w:rsid w:val="009C0146"/>
    <w:rsid w:val="009C048A"/>
    <w:rsid w:val="009C0E09"/>
    <w:rsid w:val="009C0EF5"/>
    <w:rsid w:val="009C1160"/>
    <w:rsid w:val="009C14FD"/>
    <w:rsid w:val="009C23AA"/>
    <w:rsid w:val="009C2782"/>
    <w:rsid w:val="009C27E2"/>
    <w:rsid w:val="009C2F50"/>
    <w:rsid w:val="009C3133"/>
    <w:rsid w:val="009C331C"/>
    <w:rsid w:val="009C3740"/>
    <w:rsid w:val="009C3F3D"/>
    <w:rsid w:val="009C4194"/>
    <w:rsid w:val="009C4321"/>
    <w:rsid w:val="009C4B81"/>
    <w:rsid w:val="009C4DA6"/>
    <w:rsid w:val="009C5370"/>
    <w:rsid w:val="009C5D0B"/>
    <w:rsid w:val="009C6309"/>
    <w:rsid w:val="009C6334"/>
    <w:rsid w:val="009C6DD9"/>
    <w:rsid w:val="009C7515"/>
    <w:rsid w:val="009C7B15"/>
    <w:rsid w:val="009D03ED"/>
    <w:rsid w:val="009D1173"/>
    <w:rsid w:val="009D1408"/>
    <w:rsid w:val="009D221E"/>
    <w:rsid w:val="009D24D6"/>
    <w:rsid w:val="009D25F2"/>
    <w:rsid w:val="009D262C"/>
    <w:rsid w:val="009D3334"/>
    <w:rsid w:val="009D35B5"/>
    <w:rsid w:val="009D382F"/>
    <w:rsid w:val="009D3A3B"/>
    <w:rsid w:val="009D3F46"/>
    <w:rsid w:val="009D3FB0"/>
    <w:rsid w:val="009D423B"/>
    <w:rsid w:val="009D48A3"/>
    <w:rsid w:val="009D4B09"/>
    <w:rsid w:val="009D5216"/>
    <w:rsid w:val="009D55A2"/>
    <w:rsid w:val="009D5EB9"/>
    <w:rsid w:val="009D6541"/>
    <w:rsid w:val="009D6698"/>
    <w:rsid w:val="009D6DB1"/>
    <w:rsid w:val="009D712E"/>
    <w:rsid w:val="009D77F7"/>
    <w:rsid w:val="009D7AD9"/>
    <w:rsid w:val="009D7E79"/>
    <w:rsid w:val="009D7F53"/>
    <w:rsid w:val="009D7FE0"/>
    <w:rsid w:val="009E060E"/>
    <w:rsid w:val="009E0872"/>
    <w:rsid w:val="009E12A0"/>
    <w:rsid w:val="009E1D2E"/>
    <w:rsid w:val="009E1FDD"/>
    <w:rsid w:val="009E1FF2"/>
    <w:rsid w:val="009E2185"/>
    <w:rsid w:val="009E24FC"/>
    <w:rsid w:val="009E26EC"/>
    <w:rsid w:val="009E2AA3"/>
    <w:rsid w:val="009E2AF0"/>
    <w:rsid w:val="009E2D41"/>
    <w:rsid w:val="009E2D99"/>
    <w:rsid w:val="009E2D9F"/>
    <w:rsid w:val="009E2DFE"/>
    <w:rsid w:val="009E33F9"/>
    <w:rsid w:val="009E344D"/>
    <w:rsid w:val="009E3478"/>
    <w:rsid w:val="009E34BD"/>
    <w:rsid w:val="009E3C84"/>
    <w:rsid w:val="009E3CE0"/>
    <w:rsid w:val="009E3E97"/>
    <w:rsid w:val="009E4110"/>
    <w:rsid w:val="009E482A"/>
    <w:rsid w:val="009E4C98"/>
    <w:rsid w:val="009E5478"/>
    <w:rsid w:val="009E55AA"/>
    <w:rsid w:val="009E5B9B"/>
    <w:rsid w:val="009E5C30"/>
    <w:rsid w:val="009E5CB9"/>
    <w:rsid w:val="009E5D29"/>
    <w:rsid w:val="009E5EBC"/>
    <w:rsid w:val="009E5F14"/>
    <w:rsid w:val="009E69FA"/>
    <w:rsid w:val="009E6D11"/>
    <w:rsid w:val="009E7015"/>
    <w:rsid w:val="009E7476"/>
    <w:rsid w:val="009E78CC"/>
    <w:rsid w:val="009E7B39"/>
    <w:rsid w:val="009E7C86"/>
    <w:rsid w:val="009F0742"/>
    <w:rsid w:val="009F082F"/>
    <w:rsid w:val="009F0B30"/>
    <w:rsid w:val="009F0FED"/>
    <w:rsid w:val="009F10E0"/>
    <w:rsid w:val="009F11AA"/>
    <w:rsid w:val="009F132E"/>
    <w:rsid w:val="009F1450"/>
    <w:rsid w:val="009F148C"/>
    <w:rsid w:val="009F17E9"/>
    <w:rsid w:val="009F19E0"/>
    <w:rsid w:val="009F2727"/>
    <w:rsid w:val="009F2C70"/>
    <w:rsid w:val="009F2F77"/>
    <w:rsid w:val="009F3389"/>
    <w:rsid w:val="009F33F1"/>
    <w:rsid w:val="009F3BE3"/>
    <w:rsid w:val="009F3DAC"/>
    <w:rsid w:val="009F3F9D"/>
    <w:rsid w:val="009F40F7"/>
    <w:rsid w:val="009F4EE8"/>
    <w:rsid w:val="009F538D"/>
    <w:rsid w:val="009F6397"/>
    <w:rsid w:val="009F63B8"/>
    <w:rsid w:val="009F6649"/>
    <w:rsid w:val="009F67F8"/>
    <w:rsid w:val="009F7218"/>
    <w:rsid w:val="009F7595"/>
    <w:rsid w:val="00A000A0"/>
    <w:rsid w:val="00A00DBC"/>
    <w:rsid w:val="00A00E0D"/>
    <w:rsid w:val="00A027AA"/>
    <w:rsid w:val="00A02A6B"/>
    <w:rsid w:val="00A031E7"/>
    <w:rsid w:val="00A03599"/>
    <w:rsid w:val="00A03924"/>
    <w:rsid w:val="00A03A20"/>
    <w:rsid w:val="00A03C87"/>
    <w:rsid w:val="00A05FCD"/>
    <w:rsid w:val="00A06977"/>
    <w:rsid w:val="00A06CC7"/>
    <w:rsid w:val="00A07012"/>
    <w:rsid w:val="00A076B1"/>
    <w:rsid w:val="00A079BF"/>
    <w:rsid w:val="00A07A9E"/>
    <w:rsid w:val="00A100F6"/>
    <w:rsid w:val="00A102B4"/>
    <w:rsid w:val="00A11137"/>
    <w:rsid w:val="00A11155"/>
    <w:rsid w:val="00A1152A"/>
    <w:rsid w:val="00A11670"/>
    <w:rsid w:val="00A11E85"/>
    <w:rsid w:val="00A1231E"/>
    <w:rsid w:val="00A133D6"/>
    <w:rsid w:val="00A13671"/>
    <w:rsid w:val="00A13D2B"/>
    <w:rsid w:val="00A1406A"/>
    <w:rsid w:val="00A144F9"/>
    <w:rsid w:val="00A14E4F"/>
    <w:rsid w:val="00A15CF0"/>
    <w:rsid w:val="00A16260"/>
    <w:rsid w:val="00A1683E"/>
    <w:rsid w:val="00A168B6"/>
    <w:rsid w:val="00A168B7"/>
    <w:rsid w:val="00A16BAD"/>
    <w:rsid w:val="00A16F12"/>
    <w:rsid w:val="00A173C5"/>
    <w:rsid w:val="00A178DC"/>
    <w:rsid w:val="00A17FC8"/>
    <w:rsid w:val="00A20006"/>
    <w:rsid w:val="00A2109F"/>
    <w:rsid w:val="00A21771"/>
    <w:rsid w:val="00A21944"/>
    <w:rsid w:val="00A21B69"/>
    <w:rsid w:val="00A23A7E"/>
    <w:rsid w:val="00A24546"/>
    <w:rsid w:val="00A24734"/>
    <w:rsid w:val="00A24B70"/>
    <w:rsid w:val="00A24B8A"/>
    <w:rsid w:val="00A25012"/>
    <w:rsid w:val="00A25367"/>
    <w:rsid w:val="00A259B3"/>
    <w:rsid w:val="00A25D19"/>
    <w:rsid w:val="00A26610"/>
    <w:rsid w:val="00A2687B"/>
    <w:rsid w:val="00A272E7"/>
    <w:rsid w:val="00A2786E"/>
    <w:rsid w:val="00A27E19"/>
    <w:rsid w:val="00A30797"/>
    <w:rsid w:val="00A320CE"/>
    <w:rsid w:val="00A32189"/>
    <w:rsid w:val="00A32236"/>
    <w:rsid w:val="00A32391"/>
    <w:rsid w:val="00A32F96"/>
    <w:rsid w:val="00A34052"/>
    <w:rsid w:val="00A3440F"/>
    <w:rsid w:val="00A34824"/>
    <w:rsid w:val="00A35A1A"/>
    <w:rsid w:val="00A3606C"/>
    <w:rsid w:val="00A36778"/>
    <w:rsid w:val="00A370BE"/>
    <w:rsid w:val="00A37231"/>
    <w:rsid w:val="00A3763A"/>
    <w:rsid w:val="00A37B19"/>
    <w:rsid w:val="00A37F43"/>
    <w:rsid w:val="00A37FE7"/>
    <w:rsid w:val="00A40E1C"/>
    <w:rsid w:val="00A40F8F"/>
    <w:rsid w:val="00A41CF9"/>
    <w:rsid w:val="00A428E9"/>
    <w:rsid w:val="00A42944"/>
    <w:rsid w:val="00A42DBE"/>
    <w:rsid w:val="00A43E13"/>
    <w:rsid w:val="00A4429C"/>
    <w:rsid w:val="00A44B6E"/>
    <w:rsid w:val="00A44F7F"/>
    <w:rsid w:val="00A450B7"/>
    <w:rsid w:val="00A46454"/>
    <w:rsid w:val="00A46D3D"/>
    <w:rsid w:val="00A47373"/>
    <w:rsid w:val="00A479F5"/>
    <w:rsid w:val="00A47C26"/>
    <w:rsid w:val="00A47E38"/>
    <w:rsid w:val="00A50147"/>
    <w:rsid w:val="00A50319"/>
    <w:rsid w:val="00A505C3"/>
    <w:rsid w:val="00A50A91"/>
    <w:rsid w:val="00A51B75"/>
    <w:rsid w:val="00A51EC3"/>
    <w:rsid w:val="00A522E9"/>
    <w:rsid w:val="00A52841"/>
    <w:rsid w:val="00A5291C"/>
    <w:rsid w:val="00A52E0B"/>
    <w:rsid w:val="00A53120"/>
    <w:rsid w:val="00A5327A"/>
    <w:rsid w:val="00A536B3"/>
    <w:rsid w:val="00A53F74"/>
    <w:rsid w:val="00A54496"/>
    <w:rsid w:val="00A54792"/>
    <w:rsid w:val="00A54E22"/>
    <w:rsid w:val="00A55153"/>
    <w:rsid w:val="00A5530B"/>
    <w:rsid w:val="00A554BF"/>
    <w:rsid w:val="00A55917"/>
    <w:rsid w:val="00A55A14"/>
    <w:rsid w:val="00A55F75"/>
    <w:rsid w:val="00A56C6F"/>
    <w:rsid w:val="00A5721A"/>
    <w:rsid w:val="00A57261"/>
    <w:rsid w:val="00A579F3"/>
    <w:rsid w:val="00A6004F"/>
    <w:rsid w:val="00A60180"/>
    <w:rsid w:val="00A60C04"/>
    <w:rsid w:val="00A60F4E"/>
    <w:rsid w:val="00A617AE"/>
    <w:rsid w:val="00A61CC5"/>
    <w:rsid w:val="00A61D13"/>
    <w:rsid w:val="00A621B8"/>
    <w:rsid w:val="00A6252B"/>
    <w:rsid w:val="00A6274D"/>
    <w:rsid w:val="00A62DA3"/>
    <w:rsid w:val="00A631F1"/>
    <w:rsid w:val="00A634E6"/>
    <w:rsid w:val="00A63806"/>
    <w:rsid w:val="00A6389D"/>
    <w:rsid w:val="00A63B3C"/>
    <w:rsid w:val="00A63D00"/>
    <w:rsid w:val="00A644B4"/>
    <w:rsid w:val="00A649A5"/>
    <w:rsid w:val="00A64A08"/>
    <w:rsid w:val="00A64A41"/>
    <w:rsid w:val="00A64AF9"/>
    <w:rsid w:val="00A64B8F"/>
    <w:rsid w:val="00A64C2D"/>
    <w:rsid w:val="00A64D9A"/>
    <w:rsid w:val="00A65ECB"/>
    <w:rsid w:val="00A66587"/>
    <w:rsid w:val="00A66687"/>
    <w:rsid w:val="00A66A47"/>
    <w:rsid w:val="00A6700B"/>
    <w:rsid w:val="00A673C9"/>
    <w:rsid w:val="00A67A5F"/>
    <w:rsid w:val="00A67BDB"/>
    <w:rsid w:val="00A67F43"/>
    <w:rsid w:val="00A70282"/>
    <w:rsid w:val="00A70491"/>
    <w:rsid w:val="00A708AF"/>
    <w:rsid w:val="00A708CC"/>
    <w:rsid w:val="00A70974"/>
    <w:rsid w:val="00A71F53"/>
    <w:rsid w:val="00A720AB"/>
    <w:rsid w:val="00A721A7"/>
    <w:rsid w:val="00A7250F"/>
    <w:rsid w:val="00A726C0"/>
    <w:rsid w:val="00A72756"/>
    <w:rsid w:val="00A7346B"/>
    <w:rsid w:val="00A73745"/>
    <w:rsid w:val="00A7386B"/>
    <w:rsid w:val="00A73BE4"/>
    <w:rsid w:val="00A745F5"/>
    <w:rsid w:val="00A74833"/>
    <w:rsid w:val="00A75AF6"/>
    <w:rsid w:val="00A75FB9"/>
    <w:rsid w:val="00A761FC"/>
    <w:rsid w:val="00A76DB3"/>
    <w:rsid w:val="00A775EC"/>
    <w:rsid w:val="00A77752"/>
    <w:rsid w:val="00A806AB"/>
    <w:rsid w:val="00A81A74"/>
    <w:rsid w:val="00A81E01"/>
    <w:rsid w:val="00A82028"/>
    <w:rsid w:val="00A8222B"/>
    <w:rsid w:val="00A82362"/>
    <w:rsid w:val="00A82373"/>
    <w:rsid w:val="00A82A84"/>
    <w:rsid w:val="00A82FAB"/>
    <w:rsid w:val="00A82FBC"/>
    <w:rsid w:val="00A83762"/>
    <w:rsid w:val="00A838DF"/>
    <w:rsid w:val="00A83D68"/>
    <w:rsid w:val="00A83E36"/>
    <w:rsid w:val="00A8410B"/>
    <w:rsid w:val="00A8419E"/>
    <w:rsid w:val="00A85957"/>
    <w:rsid w:val="00A85C03"/>
    <w:rsid w:val="00A865E1"/>
    <w:rsid w:val="00A86BCF"/>
    <w:rsid w:val="00A86FF9"/>
    <w:rsid w:val="00A87CF1"/>
    <w:rsid w:val="00A9030F"/>
    <w:rsid w:val="00A90515"/>
    <w:rsid w:val="00A9061D"/>
    <w:rsid w:val="00A906BD"/>
    <w:rsid w:val="00A90927"/>
    <w:rsid w:val="00A90A62"/>
    <w:rsid w:val="00A9107D"/>
    <w:rsid w:val="00A9128A"/>
    <w:rsid w:val="00A9149E"/>
    <w:rsid w:val="00A914E6"/>
    <w:rsid w:val="00A9172F"/>
    <w:rsid w:val="00A91DCC"/>
    <w:rsid w:val="00A928BA"/>
    <w:rsid w:val="00A93272"/>
    <w:rsid w:val="00A933AF"/>
    <w:rsid w:val="00A936C0"/>
    <w:rsid w:val="00A937E8"/>
    <w:rsid w:val="00A93DA5"/>
    <w:rsid w:val="00A94465"/>
    <w:rsid w:val="00A94DF0"/>
    <w:rsid w:val="00A95089"/>
    <w:rsid w:val="00A95C6F"/>
    <w:rsid w:val="00A95FD4"/>
    <w:rsid w:val="00A96212"/>
    <w:rsid w:val="00A9645B"/>
    <w:rsid w:val="00A9657D"/>
    <w:rsid w:val="00A96D3A"/>
    <w:rsid w:val="00A96F1D"/>
    <w:rsid w:val="00A96FEB"/>
    <w:rsid w:val="00A97037"/>
    <w:rsid w:val="00A977AC"/>
    <w:rsid w:val="00A97983"/>
    <w:rsid w:val="00AA03C9"/>
    <w:rsid w:val="00AA08B2"/>
    <w:rsid w:val="00AA0AF3"/>
    <w:rsid w:val="00AA1415"/>
    <w:rsid w:val="00AA14F7"/>
    <w:rsid w:val="00AA18D8"/>
    <w:rsid w:val="00AA2BA6"/>
    <w:rsid w:val="00AA2C13"/>
    <w:rsid w:val="00AA318D"/>
    <w:rsid w:val="00AA4107"/>
    <w:rsid w:val="00AA458D"/>
    <w:rsid w:val="00AA4716"/>
    <w:rsid w:val="00AA4776"/>
    <w:rsid w:val="00AA4829"/>
    <w:rsid w:val="00AA5037"/>
    <w:rsid w:val="00AA53C9"/>
    <w:rsid w:val="00AA557D"/>
    <w:rsid w:val="00AA58E3"/>
    <w:rsid w:val="00AA60F0"/>
    <w:rsid w:val="00AA740A"/>
    <w:rsid w:val="00AA753E"/>
    <w:rsid w:val="00AA7BF2"/>
    <w:rsid w:val="00AA7DFE"/>
    <w:rsid w:val="00AB04DD"/>
    <w:rsid w:val="00AB087F"/>
    <w:rsid w:val="00AB096F"/>
    <w:rsid w:val="00AB09C3"/>
    <w:rsid w:val="00AB1087"/>
    <w:rsid w:val="00AB13DE"/>
    <w:rsid w:val="00AB17E5"/>
    <w:rsid w:val="00AB1CCC"/>
    <w:rsid w:val="00AB2A06"/>
    <w:rsid w:val="00AB2F5B"/>
    <w:rsid w:val="00AB302D"/>
    <w:rsid w:val="00AB32DA"/>
    <w:rsid w:val="00AB442E"/>
    <w:rsid w:val="00AB45D8"/>
    <w:rsid w:val="00AB4668"/>
    <w:rsid w:val="00AB4858"/>
    <w:rsid w:val="00AB4954"/>
    <w:rsid w:val="00AB4D20"/>
    <w:rsid w:val="00AB4DAC"/>
    <w:rsid w:val="00AB5175"/>
    <w:rsid w:val="00AB5777"/>
    <w:rsid w:val="00AB5D1C"/>
    <w:rsid w:val="00AB6190"/>
    <w:rsid w:val="00AB6AB7"/>
    <w:rsid w:val="00AB6C62"/>
    <w:rsid w:val="00AB6E28"/>
    <w:rsid w:val="00AB718F"/>
    <w:rsid w:val="00AB77B4"/>
    <w:rsid w:val="00AB7894"/>
    <w:rsid w:val="00AC099F"/>
    <w:rsid w:val="00AC0A42"/>
    <w:rsid w:val="00AC10CF"/>
    <w:rsid w:val="00AC1424"/>
    <w:rsid w:val="00AC1CF0"/>
    <w:rsid w:val="00AC2526"/>
    <w:rsid w:val="00AC29BD"/>
    <w:rsid w:val="00AC3253"/>
    <w:rsid w:val="00AC43F2"/>
    <w:rsid w:val="00AC4990"/>
    <w:rsid w:val="00AC4F1C"/>
    <w:rsid w:val="00AC4FD0"/>
    <w:rsid w:val="00AC53D5"/>
    <w:rsid w:val="00AC5A74"/>
    <w:rsid w:val="00AC5BDC"/>
    <w:rsid w:val="00AC5C5E"/>
    <w:rsid w:val="00AC5DFA"/>
    <w:rsid w:val="00AC64CE"/>
    <w:rsid w:val="00AC6601"/>
    <w:rsid w:val="00AC6808"/>
    <w:rsid w:val="00AC7A38"/>
    <w:rsid w:val="00AC7D1B"/>
    <w:rsid w:val="00AC7E68"/>
    <w:rsid w:val="00AD0098"/>
    <w:rsid w:val="00AD0435"/>
    <w:rsid w:val="00AD0716"/>
    <w:rsid w:val="00AD0928"/>
    <w:rsid w:val="00AD0976"/>
    <w:rsid w:val="00AD103E"/>
    <w:rsid w:val="00AD200A"/>
    <w:rsid w:val="00AD203E"/>
    <w:rsid w:val="00AD2333"/>
    <w:rsid w:val="00AD2777"/>
    <w:rsid w:val="00AD3746"/>
    <w:rsid w:val="00AD3F9C"/>
    <w:rsid w:val="00AD4755"/>
    <w:rsid w:val="00AD4FD6"/>
    <w:rsid w:val="00AD5095"/>
    <w:rsid w:val="00AD5826"/>
    <w:rsid w:val="00AD5DC1"/>
    <w:rsid w:val="00AD6142"/>
    <w:rsid w:val="00AD691E"/>
    <w:rsid w:val="00AD6D24"/>
    <w:rsid w:val="00AD7685"/>
    <w:rsid w:val="00AD77D0"/>
    <w:rsid w:val="00AD7B8E"/>
    <w:rsid w:val="00AD7D6A"/>
    <w:rsid w:val="00AD7E14"/>
    <w:rsid w:val="00AE0CA8"/>
    <w:rsid w:val="00AE13D7"/>
    <w:rsid w:val="00AE1553"/>
    <w:rsid w:val="00AE19FC"/>
    <w:rsid w:val="00AE1FE7"/>
    <w:rsid w:val="00AE20B5"/>
    <w:rsid w:val="00AE2101"/>
    <w:rsid w:val="00AE237F"/>
    <w:rsid w:val="00AE2701"/>
    <w:rsid w:val="00AE2FAA"/>
    <w:rsid w:val="00AE35D1"/>
    <w:rsid w:val="00AE42D2"/>
    <w:rsid w:val="00AE4DD3"/>
    <w:rsid w:val="00AE5176"/>
    <w:rsid w:val="00AE56B9"/>
    <w:rsid w:val="00AE62CB"/>
    <w:rsid w:val="00AE658A"/>
    <w:rsid w:val="00AE6929"/>
    <w:rsid w:val="00AE6A1E"/>
    <w:rsid w:val="00AE6E7D"/>
    <w:rsid w:val="00AE7123"/>
    <w:rsid w:val="00AE7767"/>
    <w:rsid w:val="00AE77CB"/>
    <w:rsid w:val="00AE7B94"/>
    <w:rsid w:val="00AE7C5C"/>
    <w:rsid w:val="00AF0391"/>
    <w:rsid w:val="00AF07A3"/>
    <w:rsid w:val="00AF159D"/>
    <w:rsid w:val="00AF2810"/>
    <w:rsid w:val="00AF365E"/>
    <w:rsid w:val="00AF3743"/>
    <w:rsid w:val="00AF3FEE"/>
    <w:rsid w:val="00AF4118"/>
    <w:rsid w:val="00AF4207"/>
    <w:rsid w:val="00AF448A"/>
    <w:rsid w:val="00AF51AC"/>
    <w:rsid w:val="00AF5808"/>
    <w:rsid w:val="00AF586B"/>
    <w:rsid w:val="00AF5935"/>
    <w:rsid w:val="00AF599C"/>
    <w:rsid w:val="00AF5FBA"/>
    <w:rsid w:val="00AF6BBE"/>
    <w:rsid w:val="00AF6C25"/>
    <w:rsid w:val="00AF6DAB"/>
    <w:rsid w:val="00AF73F6"/>
    <w:rsid w:val="00AF74B3"/>
    <w:rsid w:val="00AF777C"/>
    <w:rsid w:val="00AF789B"/>
    <w:rsid w:val="00AF7EE9"/>
    <w:rsid w:val="00B0024F"/>
    <w:rsid w:val="00B005E7"/>
    <w:rsid w:val="00B00E5C"/>
    <w:rsid w:val="00B00F80"/>
    <w:rsid w:val="00B01AF8"/>
    <w:rsid w:val="00B01BFB"/>
    <w:rsid w:val="00B01D78"/>
    <w:rsid w:val="00B01D94"/>
    <w:rsid w:val="00B0217B"/>
    <w:rsid w:val="00B02B25"/>
    <w:rsid w:val="00B02BBE"/>
    <w:rsid w:val="00B02C42"/>
    <w:rsid w:val="00B035DB"/>
    <w:rsid w:val="00B03CC3"/>
    <w:rsid w:val="00B04A32"/>
    <w:rsid w:val="00B04B52"/>
    <w:rsid w:val="00B04BEF"/>
    <w:rsid w:val="00B057E0"/>
    <w:rsid w:val="00B0585A"/>
    <w:rsid w:val="00B05D98"/>
    <w:rsid w:val="00B06216"/>
    <w:rsid w:val="00B066C4"/>
    <w:rsid w:val="00B06EE9"/>
    <w:rsid w:val="00B07481"/>
    <w:rsid w:val="00B07F16"/>
    <w:rsid w:val="00B1040F"/>
    <w:rsid w:val="00B11919"/>
    <w:rsid w:val="00B11C9B"/>
    <w:rsid w:val="00B11D3A"/>
    <w:rsid w:val="00B129D0"/>
    <w:rsid w:val="00B12DDE"/>
    <w:rsid w:val="00B130AB"/>
    <w:rsid w:val="00B1396A"/>
    <w:rsid w:val="00B13A7D"/>
    <w:rsid w:val="00B13ED1"/>
    <w:rsid w:val="00B14079"/>
    <w:rsid w:val="00B1408E"/>
    <w:rsid w:val="00B1447B"/>
    <w:rsid w:val="00B14522"/>
    <w:rsid w:val="00B148EC"/>
    <w:rsid w:val="00B14C2F"/>
    <w:rsid w:val="00B150A4"/>
    <w:rsid w:val="00B16234"/>
    <w:rsid w:val="00B16D5B"/>
    <w:rsid w:val="00B1785B"/>
    <w:rsid w:val="00B17C7A"/>
    <w:rsid w:val="00B20228"/>
    <w:rsid w:val="00B20D4F"/>
    <w:rsid w:val="00B20D90"/>
    <w:rsid w:val="00B211CC"/>
    <w:rsid w:val="00B2132D"/>
    <w:rsid w:val="00B218D7"/>
    <w:rsid w:val="00B21AE1"/>
    <w:rsid w:val="00B22091"/>
    <w:rsid w:val="00B22196"/>
    <w:rsid w:val="00B2254D"/>
    <w:rsid w:val="00B22655"/>
    <w:rsid w:val="00B22722"/>
    <w:rsid w:val="00B22ACD"/>
    <w:rsid w:val="00B22CBB"/>
    <w:rsid w:val="00B237C1"/>
    <w:rsid w:val="00B238B8"/>
    <w:rsid w:val="00B23DCA"/>
    <w:rsid w:val="00B23E4D"/>
    <w:rsid w:val="00B2414F"/>
    <w:rsid w:val="00B24911"/>
    <w:rsid w:val="00B24A79"/>
    <w:rsid w:val="00B24C02"/>
    <w:rsid w:val="00B24D68"/>
    <w:rsid w:val="00B24E4C"/>
    <w:rsid w:val="00B253CC"/>
    <w:rsid w:val="00B257C5"/>
    <w:rsid w:val="00B25FB5"/>
    <w:rsid w:val="00B26D38"/>
    <w:rsid w:val="00B2740A"/>
    <w:rsid w:val="00B27629"/>
    <w:rsid w:val="00B2778A"/>
    <w:rsid w:val="00B27796"/>
    <w:rsid w:val="00B27B05"/>
    <w:rsid w:val="00B3027E"/>
    <w:rsid w:val="00B30337"/>
    <w:rsid w:val="00B306EA"/>
    <w:rsid w:val="00B30909"/>
    <w:rsid w:val="00B30EE5"/>
    <w:rsid w:val="00B31A64"/>
    <w:rsid w:val="00B32545"/>
    <w:rsid w:val="00B32C38"/>
    <w:rsid w:val="00B33390"/>
    <w:rsid w:val="00B34F18"/>
    <w:rsid w:val="00B36055"/>
    <w:rsid w:val="00B360AF"/>
    <w:rsid w:val="00B362D5"/>
    <w:rsid w:val="00B364C5"/>
    <w:rsid w:val="00B364FB"/>
    <w:rsid w:val="00B36BB8"/>
    <w:rsid w:val="00B4002C"/>
    <w:rsid w:val="00B40231"/>
    <w:rsid w:val="00B40283"/>
    <w:rsid w:val="00B404EA"/>
    <w:rsid w:val="00B40764"/>
    <w:rsid w:val="00B40C1D"/>
    <w:rsid w:val="00B4133B"/>
    <w:rsid w:val="00B41CDC"/>
    <w:rsid w:val="00B41E28"/>
    <w:rsid w:val="00B42097"/>
    <w:rsid w:val="00B423C5"/>
    <w:rsid w:val="00B425D3"/>
    <w:rsid w:val="00B42A50"/>
    <w:rsid w:val="00B4351B"/>
    <w:rsid w:val="00B43691"/>
    <w:rsid w:val="00B436AF"/>
    <w:rsid w:val="00B43F8B"/>
    <w:rsid w:val="00B440FD"/>
    <w:rsid w:val="00B445B8"/>
    <w:rsid w:val="00B456C4"/>
    <w:rsid w:val="00B459B8"/>
    <w:rsid w:val="00B45B41"/>
    <w:rsid w:val="00B45D1B"/>
    <w:rsid w:val="00B46353"/>
    <w:rsid w:val="00B46853"/>
    <w:rsid w:val="00B470C2"/>
    <w:rsid w:val="00B473D7"/>
    <w:rsid w:val="00B47790"/>
    <w:rsid w:val="00B47926"/>
    <w:rsid w:val="00B47B0C"/>
    <w:rsid w:val="00B47EE7"/>
    <w:rsid w:val="00B506F6"/>
    <w:rsid w:val="00B5072D"/>
    <w:rsid w:val="00B50E73"/>
    <w:rsid w:val="00B5230A"/>
    <w:rsid w:val="00B5267A"/>
    <w:rsid w:val="00B526D1"/>
    <w:rsid w:val="00B52A9B"/>
    <w:rsid w:val="00B52FC7"/>
    <w:rsid w:val="00B535FA"/>
    <w:rsid w:val="00B54480"/>
    <w:rsid w:val="00B54696"/>
    <w:rsid w:val="00B54BFF"/>
    <w:rsid w:val="00B5516E"/>
    <w:rsid w:val="00B552D6"/>
    <w:rsid w:val="00B552E5"/>
    <w:rsid w:val="00B55E60"/>
    <w:rsid w:val="00B5637A"/>
    <w:rsid w:val="00B563D7"/>
    <w:rsid w:val="00B56887"/>
    <w:rsid w:val="00B569D5"/>
    <w:rsid w:val="00B56CE1"/>
    <w:rsid w:val="00B57D11"/>
    <w:rsid w:val="00B57F15"/>
    <w:rsid w:val="00B60223"/>
    <w:rsid w:val="00B605C2"/>
    <w:rsid w:val="00B60985"/>
    <w:rsid w:val="00B609C1"/>
    <w:rsid w:val="00B60D0D"/>
    <w:rsid w:val="00B61026"/>
    <w:rsid w:val="00B611F2"/>
    <w:rsid w:val="00B6130C"/>
    <w:rsid w:val="00B6135D"/>
    <w:rsid w:val="00B61981"/>
    <w:rsid w:val="00B61E02"/>
    <w:rsid w:val="00B6211F"/>
    <w:rsid w:val="00B62201"/>
    <w:rsid w:val="00B62921"/>
    <w:rsid w:val="00B62AB3"/>
    <w:rsid w:val="00B62B90"/>
    <w:rsid w:val="00B62DFD"/>
    <w:rsid w:val="00B639E0"/>
    <w:rsid w:val="00B63A4A"/>
    <w:rsid w:val="00B63C04"/>
    <w:rsid w:val="00B642A8"/>
    <w:rsid w:val="00B6480B"/>
    <w:rsid w:val="00B64D23"/>
    <w:rsid w:val="00B64E36"/>
    <w:rsid w:val="00B65110"/>
    <w:rsid w:val="00B65160"/>
    <w:rsid w:val="00B6528B"/>
    <w:rsid w:val="00B65392"/>
    <w:rsid w:val="00B6568C"/>
    <w:rsid w:val="00B65704"/>
    <w:rsid w:val="00B65984"/>
    <w:rsid w:val="00B665B8"/>
    <w:rsid w:val="00B66712"/>
    <w:rsid w:val="00B66820"/>
    <w:rsid w:val="00B66B02"/>
    <w:rsid w:val="00B66D22"/>
    <w:rsid w:val="00B66FBF"/>
    <w:rsid w:val="00B67248"/>
    <w:rsid w:val="00B67FD6"/>
    <w:rsid w:val="00B702F8"/>
    <w:rsid w:val="00B70386"/>
    <w:rsid w:val="00B705A0"/>
    <w:rsid w:val="00B70888"/>
    <w:rsid w:val="00B70CDD"/>
    <w:rsid w:val="00B70D45"/>
    <w:rsid w:val="00B716D2"/>
    <w:rsid w:val="00B71C56"/>
    <w:rsid w:val="00B7211D"/>
    <w:rsid w:val="00B72132"/>
    <w:rsid w:val="00B721B4"/>
    <w:rsid w:val="00B724BF"/>
    <w:rsid w:val="00B72DB5"/>
    <w:rsid w:val="00B733F9"/>
    <w:rsid w:val="00B7341E"/>
    <w:rsid w:val="00B739C8"/>
    <w:rsid w:val="00B73B90"/>
    <w:rsid w:val="00B741F5"/>
    <w:rsid w:val="00B74EBA"/>
    <w:rsid w:val="00B7505B"/>
    <w:rsid w:val="00B75719"/>
    <w:rsid w:val="00B7605A"/>
    <w:rsid w:val="00B76650"/>
    <w:rsid w:val="00B76AB5"/>
    <w:rsid w:val="00B76BBF"/>
    <w:rsid w:val="00B76D74"/>
    <w:rsid w:val="00B77C54"/>
    <w:rsid w:val="00B80A10"/>
    <w:rsid w:val="00B80B0C"/>
    <w:rsid w:val="00B816C6"/>
    <w:rsid w:val="00B81972"/>
    <w:rsid w:val="00B81AF5"/>
    <w:rsid w:val="00B81D1F"/>
    <w:rsid w:val="00B81F15"/>
    <w:rsid w:val="00B8319F"/>
    <w:rsid w:val="00B83BD0"/>
    <w:rsid w:val="00B83BE4"/>
    <w:rsid w:val="00B83BE5"/>
    <w:rsid w:val="00B83C0C"/>
    <w:rsid w:val="00B840CB"/>
    <w:rsid w:val="00B84478"/>
    <w:rsid w:val="00B8461F"/>
    <w:rsid w:val="00B84AE7"/>
    <w:rsid w:val="00B851A4"/>
    <w:rsid w:val="00B85266"/>
    <w:rsid w:val="00B852F8"/>
    <w:rsid w:val="00B85996"/>
    <w:rsid w:val="00B859CE"/>
    <w:rsid w:val="00B85AFB"/>
    <w:rsid w:val="00B85DE4"/>
    <w:rsid w:val="00B85F5C"/>
    <w:rsid w:val="00B86974"/>
    <w:rsid w:val="00B86981"/>
    <w:rsid w:val="00B86EEC"/>
    <w:rsid w:val="00B87923"/>
    <w:rsid w:val="00B87BEC"/>
    <w:rsid w:val="00B87EEA"/>
    <w:rsid w:val="00B901E2"/>
    <w:rsid w:val="00B9045F"/>
    <w:rsid w:val="00B9048F"/>
    <w:rsid w:val="00B907A0"/>
    <w:rsid w:val="00B90948"/>
    <w:rsid w:val="00B90F9D"/>
    <w:rsid w:val="00B910ED"/>
    <w:rsid w:val="00B91434"/>
    <w:rsid w:val="00B91688"/>
    <w:rsid w:val="00B91C15"/>
    <w:rsid w:val="00B91CFC"/>
    <w:rsid w:val="00B92468"/>
    <w:rsid w:val="00B9296E"/>
    <w:rsid w:val="00B92C99"/>
    <w:rsid w:val="00B92F89"/>
    <w:rsid w:val="00B93168"/>
    <w:rsid w:val="00B9336C"/>
    <w:rsid w:val="00B93474"/>
    <w:rsid w:val="00B93549"/>
    <w:rsid w:val="00B93C88"/>
    <w:rsid w:val="00B93F72"/>
    <w:rsid w:val="00B94518"/>
    <w:rsid w:val="00B94648"/>
    <w:rsid w:val="00B9465B"/>
    <w:rsid w:val="00B95F08"/>
    <w:rsid w:val="00B9612E"/>
    <w:rsid w:val="00B97266"/>
    <w:rsid w:val="00B97D37"/>
    <w:rsid w:val="00BA0366"/>
    <w:rsid w:val="00BA03E1"/>
    <w:rsid w:val="00BA0446"/>
    <w:rsid w:val="00BA05CF"/>
    <w:rsid w:val="00BA0718"/>
    <w:rsid w:val="00BA1554"/>
    <w:rsid w:val="00BA1696"/>
    <w:rsid w:val="00BA16B5"/>
    <w:rsid w:val="00BA1B36"/>
    <w:rsid w:val="00BA1C17"/>
    <w:rsid w:val="00BA1CCD"/>
    <w:rsid w:val="00BA1DAC"/>
    <w:rsid w:val="00BA2065"/>
    <w:rsid w:val="00BA212C"/>
    <w:rsid w:val="00BA25E9"/>
    <w:rsid w:val="00BA2887"/>
    <w:rsid w:val="00BA29FD"/>
    <w:rsid w:val="00BA3044"/>
    <w:rsid w:val="00BA3490"/>
    <w:rsid w:val="00BA36D1"/>
    <w:rsid w:val="00BA3DE1"/>
    <w:rsid w:val="00BA4DC5"/>
    <w:rsid w:val="00BA52E1"/>
    <w:rsid w:val="00BA54CD"/>
    <w:rsid w:val="00BA5631"/>
    <w:rsid w:val="00BA59D9"/>
    <w:rsid w:val="00BA5EB1"/>
    <w:rsid w:val="00BA6743"/>
    <w:rsid w:val="00BA6C93"/>
    <w:rsid w:val="00BA71B4"/>
    <w:rsid w:val="00BA71C3"/>
    <w:rsid w:val="00BA7328"/>
    <w:rsid w:val="00BA74ED"/>
    <w:rsid w:val="00BA7ACC"/>
    <w:rsid w:val="00BA7B98"/>
    <w:rsid w:val="00BA7ECE"/>
    <w:rsid w:val="00BA7F3D"/>
    <w:rsid w:val="00BA7F51"/>
    <w:rsid w:val="00BA7FC2"/>
    <w:rsid w:val="00BB04C9"/>
    <w:rsid w:val="00BB064B"/>
    <w:rsid w:val="00BB0DB5"/>
    <w:rsid w:val="00BB147F"/>
    <w:rsid w:val="00BB21FF"/>
    <w:rsid w:val="00BB222B"/>
    <w:rsid w:val="00BB2905"/>
    <w:rsid w:val="00BB2F4E"/>
    <w:rsid w:val="00BB2F61"/>
    <w:rsid w:val="00BB311B"/>
    <w:rsid w:val="00BB35F8"/>
    <w:rsid w:val="00BB3C5A"/>
    <w:rsid w:val="00BB4FF1"/>
    <w:rsid w:val="00BB51B8"/>
    <w:rsid w:val="00BB520A"/>
    <w:rsid w:val="00BB52E9"/>
    <w:rsid w:val="00BB5B62"/>
    <w:rsid w:val="00BB6223"/>
    <w:rsid w:val="00BB66EB"/>
    <w:rsid w:val="00BB6CA8"/>
    <w:rsid w:val="00BB6CB2"/>
    <w:rsid w:val="00BB7207"/>
    <w:rsid w:val="00BB7DBD"/>
    <w:rsid w:val="00BB7F1F"/>
    <w:rsid w:val="00BB7F69"/>
    <w:rsid w:val="00BB7FC7"/>
    <w:rsid w:val="00BC0588"/>
    <w:rsid w:val="00BC05EB"/>
    <w:rsid w:val="00BC0976"/>
    <w:rsid w:val="00BC0A34"/>
    <w:rsid w:val="00BC0E84"/>
    <w:rsid w:val="00BC0F32"/>
    <w:rsid w:val="00BC0F43"/>
    <w:rsid w:val="00BC1133"/>
    <w:rsid w:val="00BC1307"/>
    <w:rsid w:val="00BC1C25"/>
    <w:rsid w:val="00BC1CB6"/>
    <w:rsid w:val="00BC2021"/>
    <w:rsid w:val="00BC2463"/>
    <w:rsid w:val="00BC2C1C"/>
    <w:rsid w:val="00BC335B"/>
    <w:rsid w:val="00BC3494"/>
    <w:rsid w:val="00BC36AC"/>
    <w:rsid w:val="00BC3C24"/>
    <w:rsid w:val="00BC3C47"/>
    <w:rsid w:val="00BC417B"/>
    <w:rsid w:val="00BC4357"/>
    <w:rsid w:val="00BC44FF"/>
    <w:rsid w:val="00BC45E0"/>
    <w:rsid w:val="00BC4F50"/>
    <w:rsid w:val="00BC4F5A"/>
    <w:rsid w:val="00BC5504"/>
    <w:rsid w:val="00BC5A68"/>
    <w:rsid w:val="00BC5C02"/>
    <w:rsid w:val="00BC6077"/>
    <w:rsid w:val="00BC62C2"/>
    <w:rsid w:val="00BC64C8"/>
    <w:rsid w:val="00BC6E80"/>
    <w:rsid w:val="00BC771B"/>
    <w:rsid w:val="00BD094E"/>
    <w:rsid w:val="00BD101F"/>
    <w:rsid w:val="00BD1506"/>
    <w:rsid w:val="00BD150A"/>
    <w:rsid w:val="00BD1E34"/>
    <w:rsid w:val="00BD206D"/>
    <w:rsid w:val="00BD2496"/>
    <w:rsid w:val="00BD252B"/>
    <w:rsid w:val="00BD292A"/>
    <w:rsid w:val="00BD324A"/>
    <w:rsid w:val="00BD327E"/>
    <w:rsid w:val="00BD43C4"/>
    <w:rsid w:val="00BD48E7"/>
    <w:rsid w:val="00BD5283"/>
    <w:rsid w:val="00BD57C4"/>
    <w:rsid w:val="00BD72A4"/>
    <w:rsid w:val="00BD747F"/>
    <w:rsid w:val="00BE002B"/>
    <w:rsid w:val="00BE0103"/>
    <w:rsid w:val="00BE0504"/>
    <w:rsid w:val="00BE0693"/>
    <w:rsid w:val="00BE079A"/>
    <w:rsid w:val="00BE0D59"/>
    <w:rsid w:val="00BE122E"/>
    <w:rsid w:val="00BE1306"/>
    <w:rsid w:val="00BE1506"/>
    <w:rsid w:val="00BE1650"/>
    <w:rsid w:val="00BE1BD3"/>
    <w:rsid w:val="00BE2DA3"/>
    <w:rsid w:val="00BE32C2"/>
    <w:rsid w:val="00BE39EC"/>
    <w:rsid w:val="00BE3A2E"/>
    <w:rsid w:val="00BE3CBB"/>
    <w:rsid w:val="00BE3FED"/>
    <w:rsid w:val="00BE44E7"/>
    <w:rsid w:val="00BE45AB"/>
    <w:rsid w:val="00BE46A1"/>
    <w:rsid w:val="00BE46A9"/>
    <w:rsid w:val="00BE4BD2"/>
    <w:rsid w:val="00BE4DB7"/>
    <w:rsid w:val="00BE4DE4"/>
    <w:rsid w:val="00BE535D"/>
    <w:rsid w:val="00BE6A75"/>
    <w:rsid w:val="00BE6D5F"/>
    <w:rsid w:val="00BE6FFF"/>
    <w:rsid w:val="00BE798C"/>
    <w:rsid w:val="00BE7BA1"/>
    <w:rsid w:val="00BE7EF9"/>
    <w:rsid w:val="00BF04DD"/>
    <w:rsid w:val="00BF068D"/>
    <w:rsid w:val="00BF08C0"/>
    <w:rsid w:val="00BF0A25"/>
    <w:rsid w:val="00BF0B58"/>
    <w:rsid w:val="00BF0D29"/>
    <w:rsid w:val="00BF0F3A"/>
    <w:rsid w:val="00BF159A"/>
    <w:rsid w:val="00BF1EA1"/>
    <w:rsid w:val="00BF2D13"/>
    <w:rsid w:val="00BF3054"/>
    <w:rsid w:val="00BF35B9"/>
    <w:rsid w:val="00BF436D"/>
    <w:rsid w:val="00BF44B5"/>
    <w:rsid w:val="00BF4651"/>
    <w:rsid w:val="00BF48E5"/>
    <w:rsid w:val="00BF4CAC"/>
    <w:rsid w:val="00BF4E3A"/>
    <w:rsid w:val="00BF5313"/>
    <w:rsid w:val="00BF5394"/>
    <w:rsid w:val="00BF5495"/>
    <w:rsid w:val="00BF5FE4"/>
    <w:rsid w:val="00BF6A59"/>
    <w:rsid w:val="00BF6DB5"/>
    <w:rsid w:val="00BF6EDF"/>
    <w:rsid w:val="00BF6EF1"/>
    <w:rsid w:val="00BF6F3C"/>
    <w:rsid w:val="00BF70F1"/>
    <w:rsid w:val="00BF714E"/>
    <w:rsid w:val="00BF7721"/>
    <w:rsid w:val="00BF7962"/>
    <w:rsid w:val="00BF7F6C"/>
    <w:rsid w:val="00C00163"/>
    <w:rsid w:val="00C00A83"/>
    <w:rsid w:val="00C01542"/>
    <w:rsid w:val="00C01B3B"/>
    <w:rsid w:val="00C02A2D"/>
    <w:rsid w:val="00C03678"/>
    <w:rsid w:val="00C03773"/>
    <w:rsid w:val="00C040DA"/>
    <w:rsid w:val="00C043CD"/>
    <w:rsid w:val="00C04637"/>
    <w:rsid w:val="00C049E5"/>
    <w:rsid w:val="00C04CCF"/>
    <w:rsid w:val="00C04DC1"/>
    <w:rsid w:val="00C054C3"/>
    <w:rsid w:val="00C05918"/>
    <w:rsid w:val="00C05961"/>
    <w:rsid w:val="00C0613C"/>
    <w:rsid w:val="00C0630E"/>
    <w:rsid w:val="00C064AB"/>
    <w:rsid w:val="00C06791"/>
    <w:rsid w:val="00C06CA2"/>
    <w:rsid w:val="00C06CED"/>
    <w:rsid w:val="00C070F5"/>
    <w:rsid w:val="00C074D1"/>
    <w:rsid w:val="00C078AF"/>
    <w:rsid w:val="00C07D25"/>
    <w:rsid w:val="00C07D64"/>
    <w:rsid w:val="00C07DE1"/>
    <w:rsid w:val="00C07DFB"/>
    <w:rsid w:val="00C07E34"/>
    <w:rsid w:val="00C104B4"/>
    <w:rsid w:val="00C10AB8"/>
    <w:rsid w:val="00C10B41"/>
    <w:rsid w:val="00C10EF6"/>
    <w:rsid w:val="00C10F63"/>
    <w:rsid w:val="00C10F67"/>
    <w:rsid w:val="00C11099"/>
    <w:rsid w:val="00C11252"/>
    <w:rsid w:val="00C11BAF"/>
    <w:rsid w:val="00C12BF5"/>
    <w:rsid w:val="00C1307E"/>
    <w:rsid w:val="00C133CE"/>
    <w:rsid w:val="00C13499"/>
    <w:rsid w:val="00C136D4"/>
    <w:rsid w:val="00C14195"/>
    <w:rsid w:val="00C14B74"/>
    <w:rsid w:val="00C15AC1"/>
    <w:rsid w:val="00C16067"/>
    <w:rsid w:val="00C164AF"/>
    <w:rsid w:val="00C166FD"/>
    <w:rsid w:val="00C167B8"/>
    <w:rsid w:val="00C16813"/>
    <w:rsid w:val="00C172D5"/>
    <w:rsid w:val="00C173C0"/>
    <w:rsid w:val="00C175CC"/>
    <w:rsid w:val="00C176D7"/>
    <w:rsid w:val="00C17F6C"/>
    <w:rsid w:val="00C2032B"/>
    <w:rsid w:val="00C206EF"/>
    <w:rsid w:val="00C2080D"/>
    <w:rsid w:val="00C20CCF"/>
    <w:rsid w:val="00C20F81"/>
    <w:rsid w:val="00C21005"/>
    <w:rsid w:val="00C21113"/>
    <w:rsid w:val="00C21237"/>
    <w:rsid w:val="00C21A39"/>
    <w:rsid w:val="00C21C97"/>
    <w:rsid w:val="00C222B8"/>
    <w:rsid w:val="00C222FC"/>
    <w:rsid w:val="00C22428"/>
    <w:rsid w:val="00C22542"/>
    <w:rsid w:val="00C22CEE"/>
    <w:rsid w:val="00C22F1B"/>
    <w:rsid w:val="00C231DF"/>
    <w:rsid w:val="00C239BC"/>
    <w:rsid w:val="00C23B13"/>
    <w:rsid w:val="00C2437B"/>
    <w:rsid w:val="00C24406"/>
    <w:rsid w:val="00C247CC"/>
    <w:rsid w:val="00C24A8B"/>
    <w:rsid w:val="00C24B10"/>
    <w:rsid w:val="00C25440"/>
    <w:rsid w:val="00C254ED"/>
    <w:rsid w:val="00C256A8"/>
    <w:rsid w:val="00C25F5E"/>
    <w:rsid w:val="00C26193"/>
    <w:rsid w:val="00C262A1"/>
    <w:rsid w:val="00C26318"/>
    <w:rsid w:val="00C26CEA"/>
    <w:rsid w:val="00C27147"/>
    <w:rsid w:val="00C2775D"/>
    <w:rsid w:val="00C2796B"/>
    <w:rsid w:val="00C30777"/>
    <w:rsid w:val="00C309ED"/>
    <w:rsid w:val="00C30AA5"/>
    <w:rsid w:val="00C30B46"/>
    <w:rsid w:val="00C31051"/>
    <w:rsid w:val="00C321C0"/>
    <w:rsid w:val="00C32E2A"/>
    <w:rsid w:val="00C334C6"/>
    <w:rsid w:val="00C33580"/>
    <w:rsid w:val="00C335FE"/>
    <w:rsid w:val="00C33849"/>
    <w:rsid w:val="00C33AB3"/>
    <w:rsid w:val="00C33BA6"/>
    <w:rsid w:val="00C340CA"/>
    <w:rsid w:val="00C34642"/>
    <w:rsid w:val="00C34CF0"/>
    <w:rsid w:val="00C34D1A"/>
    <w:rsid w:val="00C35155"/>
    <w:rsid w:val="00C35290"/>
    <w:rsid w:val="00C35806"/>
    <w:rsid w:val="00C358D8"/>
    <w:rsid w:val="00C369B4"/>
    <w:rsid w:val="00C37666"/>
    <w:rsid w:val="00C3766C"/>
    <w:rsid w:val="00C40441"/>
    <w:rsid w:val="00C40547"/>
    <w:rsid w:val="00C40671"/>
    <w:rsid w:val="00C407B3"/>
    <w:rsid w:val="00C40F67"/>
    <w:rsid w:val="00C40F8E"/>
    <w:rsid w:val="00C417AF"/>
    <w:rsid w:val="00C41FFA"/>
    <w:rsid w:val="00C4236D"/>
    <w:rsid w:val="00C42A0D"/>
    <w:rsid w:val="00C432E0"/>
    <w:rsid w:val="00C4430B"/>
    <w:rsid w:val="00C44667"/>
    <w:rsid w:val="00C44B40"/>
    <w:rsid w:val="00C44BA7"/>
    <w:rsid w:val="00C450B2"/>
    <w:rsid w:val="00C467B4"/>
    <w:rsid w:val="00C468A1"/>
    <w:rsid w:val="00C46E99"/>
    <w:rsid w:val="00C471AC"/>
    <w:rsid w:val="00C471F4"/>
    <w:rsid w:val="00C472E4"/>
    <w:rsid w:val="00C505AA"/>
    <w:rsid w:val="00C50762"/>
    <w:rsid w:val="00C50774"/>
    <w:rsid w:val="00C50FDB"/>
    <w:rsid w:val="00C51942"/>
    <w:rsid w:val="00C51E6A"/>
    <w:rsid w:val="00C52026"/>
    <w:rsid w:val="00C52A13"/>
    <w:rsid w:val="00C52CC5"/>
    <w:rsid w:val="00C5300C"/>
    <w:rsid w:val="00C53136"/>
    <w:rsid w:val="00C5354A"/>
    <w:rsid w:val="00C54172"/>
    <w:rsid w:val="00C5418B"/>
    <w:rsid w:val="00C54587"/>
    <w:rsid w:val="00C5484B"/>
    <w:rsid w:val="00C54B89"/>
    <w:rsid w:val="00C55437"/>
    <w:rsid w:val="00C55933"/>
    <w:rsid w:val="00C562A5"/>
    <w:rsid w:val="00C56EB1"/>
    <w:rsid w:val="00C570F3"/>
    <w:rsid w:val="00C5749A"/>
    <w:rsid w:val="00C5785F"/>
    <w:rsid w:val="00C601AE"/>
    <w:rsid w:val="00C603EB"/>
    <w:rsid w:val="00C60444"/>
    <w:rsid w:val="00C61219"/>
    <w:rsid w:val="00C6176D"/>
    <w:rsid w:val="00C62095"/>
    <w:rsid w:val="00C62250"/>
    <w:rsid w:val="00C62540"/>
    <w:rsid w:val="00C627F1"/>
    <w:rsid w:val="00C629FC"/>
    <w:rsid w:val="00C63060"/>
    <w:rsid w:val="00C64D9B"/>
    <w:rsid w:val="00C65704"/>
    <w:rsid w:val="00C65987"/>
    <w:rsid w:val="00C65D69"/>
    <w:rsid w:val="00C6648E"/>
    <w:rsid w:val="00C667A0"/>
    <w:rsid w:val="00C667A8"/>
    <w:rsid w:val="00C66A37"/>
    <w:rsid w:val="00C66BD3"/>
    <w:rsid w:val="00C66BF2"/>
    <w:rsid w:val="00C672B7"/>
    <w:rsid w:val="00C6744F"/>
    <w:rsid w:val="00C675A7"/>
    <w:rsid w:val="00C6786D"/>
    <w:rsid w:val="00C6789D"/>
    <w:rsid w:val="00C678F4"/>
    <w:rsid w:val="00C67EC8"/>
    <w:rsid w:val="00C67EE1"/>
    <w:rsid w:val="00C7062A"/>
    <w:rsid w:val="00C70C6E"/>
    <w:rsid w:val="00C70DF3"/>
    <w:rsid w:val="00C716E0"/>
    <w:rsid w:val="00C71B9E"/>
    <w:rsid w:val="00C72626"/>
    <w:rsid w:val="00C738AC"/>
    <w:rsid w:val="00C73C74"/>
    <w:rsid w:val="00C74984"/>
    <w:rsid w:val="00C74CAE"/>
    <w:rsid w:val="00C752F0"/>
    <w:rsid w:val="00C75664"/>
    <w:rsid w:val="00C7650A"/>
    <w:rsid w:val="00C7667A"/>
    <w:rsid w:val="00C7694E"/>
    <w:rsid w:val="00C76C90"/>
    <w:rsid w:val="00C77238"/>
    <w:rsid w:val="00C772AD"/>
    <w:rsid w:val="00C7775E"/>
    <w:rsid w:val="00C777D1"/>
    <w:rsid w:val="00C77AA4"/>
    <w:rsid w:val="00C77EA5"/>
    <w:rsid w:val="00C77F53"/>
    <w:rsid w:val="00C802E1"/>
    <w:rsid w:val="00C80D5D"/>
    <w:rsid w:val="00C80FB7"/>
    <w:rsid w:val="00C80FD6"/>
    <w:rsid w:val="00C81391"/>
    <w:rsid w:val="00C815ED"/>
    <w:rsid w:val="00C81D4F"/>
    <w:rsid w:val="00C8202F"/>
    <w:rsid w:val="00C82298"/>
    <w:rsid w:val="00C82365"/>
    <w:rsid w:val="00C82375"/>
    <w:rsid w:val="00C82411"/>
    <w:rsid w:val="00C829B4"/>
    <w:rsid w:val="00C82B10"/>
    <w:rsid w:val="00C82ED1"/>
    <w:rsid w:val="00C83A5E"/>
    <w:rsid w:val="00C83F23"/>
    <w:rsid w:val="00C844EC"/>
    <w:rsid w:val="00C845D8"/>
    <w:rsid w:val="00C84A20"/>
    <w:rsid w:val="00C84D79"/>
    <w:rsid w:val="00C84EB3"/>
    <w:rsid w:val="00C84F32"/>
    <w:rsid w:val="00C85133"/>
    <w:rsid w:val="00C8525A"/>
    <w:rsid w:val="00C85B4E"/>
    <w:rsid w:val="00C8630D"/>
    <w:rsid w:val="00C8645F"/>
    <w:rsid w:val="00C86ED5"/>
    <w:rsid w:val="00C871CC"/>
    <w:rsid w:val="00C87289"/>
    <w:rsid w:val="00C878F7"/>
    <w:rsid w:val="00C87F57"/>
    <w:rsid w:val="00C909CB"/>
    <w:rsid w:val="00C90AE3"/>
    <w:rsid w:val="00C90BDA"/>
    <w:rsid w:val="00C9108E"/>
    <w:rsid w:val="00C9111E"/>
    <w:rsid w:val="00C91352"/>
    <w:rsid w:val="00C914B1"/>
    <w:rsid w:val="00C91748"/>
    <w:rsid w:val="00C91C08"/>
    <w:rsid w:val="00C91ED8"/>
    <w:rsid w:val="00C92A4B"/>
    <w:rsid w:val="00C92C29"/>
    <w:rsid w:val="00C9318B"/>
    <w:rsid w:val="00C9347E"/>
    <w:rsid w:val="00C939A7"/>
    <w:rsid w:val="00C93D39"/>
    <w:rsid w:val="00C9445D"/>
    <w:rsid w:val="00C94708"/>
    <w:rsid w:val="00C956BA"/>
    <w:rsid w:val="00C95E81"/>
    <w:rsid w:val="00C96011"/>
    <w:rsid w:val="00C96078"/>
    <w:rsid w:val="00C96225"/>
    <w:rsid w:val="00C96467"/>
    <w:rsid w:val="00C9650C"/>
    <w:rsid w:val="00C9685E"/>
    <w:rsid w:val="00C96E9D"/>
    <w:rsid w:val="00C9702B"/>
    <w:rsid w:val="00C9734B"/>
    <w:rsid w:val="00C976BF"/>
    <w:rsid w:val="00C978B7"/>
    <w:rsid w:val="00C9798B"/>
    <w:rsid w:val="00CA01CD"/>
    <w:rsid w:val="00CA1347"/>
    <w:rsid w:val="00CA1430"/>
    <w:rsid w:val="00CA1DAF"/>
    <w:rsid w:val="00CA1DB3"/>
    <w:rsid w:val="00CA1F09"/>
    <w:rsid w:val="00CA280C"/>
    <w:rsid w:val="00CA2DD2"/>
    <w:rsid w:val="00CA33F3"/>
    <w:rsid w:val="00CA399A"/>
    <w:rsid w:val="00CA3C1B"/>
    <w:rsid w:val="00CA5182"/>
    <w:rsid w:val="00CA54AF"/>
    <w:rsid w:val="00CA5500"/>
    <w:rsid w:val="00CA67F6"/>
    <w:rsid w:val="00CA6F4F"/>
    <w:rsid w:val="00CA714E"/>
    <w:rsid w:val="00CA71CB"/>
    <w:rsid w:val="00CA74D0"/>
    <w:rsid w:val="00CB061F"/>
    <w:rsid w:val="00CB081F"/>
    <w:rsid w:val="00CB0DDA"/>
    <w:rsid w:val="00CB0DF3"/>
    <w:rsid w:val="00CB1925"/>
    <w:rsid w:val="00CB1D8D"/>
    <w:rsid w:val="00CB1F28"/>
    <w:rsid w:val="00CB1F3E"/>
    <w:rsid w:val="00CB2295"/>
    <w:rsid w:val="00CB27EC"/>
    <w:rsid w:val="00CB28F6"/>
    <w:rsid w:val="00CB3A02"/>
    <w:rsid w:val="00CB3DFB"/>
    <w:rsid w:val="00CB4269"/>
    <w:rsid w:val="00CB4675"/>
    <w:rsid w:val="00CB48E9"/>
    <w:rsid w:val="00CB4A3E"/>
    <w:rsid w:val="00CB4CE4"/>
    <w:rsid w:val="00CB4D2A"/>
    <w:rsid w:val="00CB4FA3"/>
    <w:rsid w:val="00CB50F4"/>
    <w:rsid w:val="00CB51FE"/>
    <w:rsid w:val="00CB56CC"/>
    <w:rsid w:val="00CB60DA"/>
    <w:rsid w:val="00CB7270"/>
    <w:rsid w:val="00CB77A1"/>
    <w:rsid w:val="00CB7885"/>
    <w:rsid w:val="00CB79DB"/>
    <w:rsid w:val="00CB7B34"/>
    <w:rsid w:val="00CB7C01"/>
    <w:rsid w:val="00CB7C48"/>
    <w:rsid w:val="00CB7FBF"/>
    <w:rsid w:val="00CC027C"/>
    <w:rsid w:val="00CC0A01"/>
    <w:rsid w:val="00CC0FA3"/>
    <w:rsid w:val="00CC1155"/>
    <w:rsid w:val="00CC146D"/>
    <w:rsid w:val="00CC1481"/>
    <w:rsid w:val="00CC166C"/>
    <w:rsid w:val="00CC1AB1"/>
    <w:rsid w:val="00CC24AD"/>
    <w:rsid w:val="00CC272D"/>
    <w:rsid w:val="00CC2897"/>
    <w:rsid w:val="00CC2F55"/>
    <w:rsid w:val="00CC3C59"/>
    <w:rsid w:val="00CC433B"/>
    <w:rsid w:val="00CC4D11"/>
    <w:rsid w:val="00CC50E5"/>
    <w:rsid w:val="00CC6B7C"/>
    <w:rsid w:val="00CC6F0C"/>
    <w:rsid w:val="00CC712E"/>
    <w:rsid w:val="00CC71FC"/>
    <w:rsid w:val="00CC7B5F"/>
    <w:rsid w:val="00CC7FBA"/>
    <w:rsid w:val="00CD0C5B"/>
    <w:rsid w:val="00CD0C96"/>
    <w:rsid w:val="00CD0E3C"/>
    <w:rsid w:val="00CD1380"/>
    <w:rsid w:val="00CD26E5"/>
    <w:rsid w:val="00CD2C64"/>
    <w:rsid w:val="00CD34D8"/>
    <w:rsid w:val="00CD3674"/>
    <w:rsid w:val="00CD40CD"/>
    <w:rsid w:val="00CD4130"/>
    <w:rsid w:val="00CD422B"/>
    <w:rsid w:val="00CD451F"/>
    <w:rsid w:val="00CD464A"/>
    <w:rsid w:val="00CD4BD9"/>
    <w:rsid w:val="00CD520B"/>
    <w:rsid w:val="00CD5242"/>
    <w:rsid w:val="00CD56D1"/>
    <w:rsid w:val="00CD56E5"/>
    <w:rsid w:val="00CD5B60"/>
    <w:rsid w:val="00CD7112"/>
    <w:rsid w:val="00CD72AC"/>
    <w:rsid w:val="00CD7627"/>
    <w:rsid w:val="00CD790D"/>
    <w:rsid w:val="00CE0109"/>
    <w:rsid w:val="00CE20E6"/>
    <w:rsid w:val="00CE226D"/>
    <w:rsid w:val="00CE2494"/>
    <w:rsid w:val="00CE33A2"/>
    <w:rsid w:val="00CE3A20"/>
    <w:rsid w:val="00CE3D42"/>
    <w:rsid w:val="00CE3E73"/>
    <w:rsid w:val="00CE5AC5"/>
    <w:rsid w:val="00CE5BD0"/>
    <w:rsid w:val="00CE5BE7"/>
    <w:rsid w:val="00CE5DA0"/>
    <w:rsid w:val="00CE613F"/>
    <w:rsid w:val="00CE63B9"/>
    <w:rsid w:val="00CE7199"/>
    <w:rsid w:val="00CE71FF"/>
    <w:rsid w:val="00CE733E"/>
    <w:rsid w:val="00CE75FE"/>
    <w:rsid w:val="00CE7D7B"/>
    <w:rsid w:val="00CE7E64"/>
    <w:rsid w:val="00CF0273"/>
    <w:rsid w:val="00CF0333"/>
    <w:rsid w:val="00CF083C"/>
    <w:rsid w:val="00CF089B"/>
    <w:rsid w:val="00CF0DB2"/>
    <w:rsid w:val="00CF1F9F"/>
    <w:rsid w:val="00CF215B"/>
    <w:rsid w:val="00CF23FA"/>
    <w:rsid w:val="00CF25D3"/>
    <w:rsid w:val="00CF2662"/>
    <w:rsid w:val="00CF2669"/>
    <w:rsid w:val="00CF278C"/>
    <w:rsid w:val="00CF3623"/>
    <w:rsid w:val="00CF3C92"/>
    <w:rsid w:val="00CF3D87"/>
    <w:rsid w:val="00CF43A3"/>
    <w:rsid w:val="00CF491C"/>
    <w:rsid w:val="00CF57F2"/>
    <w:rsid w:val="00CF5E52"/>
    <w:rsid w:val="00CF6584"/>
    <w:rsid w:val="00CF7326"/>
    <w:rsid w:val="00CF7613"/>
    <w:rsid w:val="00CF77A2"/>
    <w:rsid w:val="00CF7801"/>
    <w:rsid w:val="00CF791D"/>
    <w:rsid w:val="00CF7EAE"/>
    <w:rsid w:val="00D004A1"/>
    <w:rsid w:val="00D00E62"/>
    <w:rsid w:val="00D010BB"/>
    <w:rsid w:val="00D01621"/>
    <w:rsid w:val="00D01A78"/>
    <w:rsid w:val="00D01CB6"/>
    <w:rsid w:val="00D01F58"/>
    <w:rsid w:val="00D02042"/>
    <w:rsid w:val="00D022E6"/>
    <w:rsid w:val="00D030C5"/>
    <w:rsid w:val="00D03F17"/>
    <w:rsid w:val="00D041D5"/>
    <w:rsid w:val="00D04DEB"/>
    <w:rsid w:val="00D0517E"/>
    <w:rsid w:val="00D0541E"/>
    <w:rsid w:val="00D058A7"/>
    <w:rsid w:val="00D0599D"/>
    <w:rsid w:val="00D05EF1"/>
    <w:rsid w:val="00D06378"/>
    <w:rsid w:val="00D065CA"/>
    <w:rsid w:val="00D071B0"/>
    <w:rsid w:val="00D073E2"/>
    <w:rsid w:val="00D0766E"/>
    <w:rsid w:val="00D07825"/>
    <w:rsid w:val="00D07CFD"/>
    <w:rsid w:val="00D07E5B"/>
    <w:rsid w:val="00D105C3"/>
    <w:rsid w:val="00D1086F"/>
    <w:rsid w:val="00D10D87"/>
    <w:rsid w:val="00D10F5D"/>
    <w:rsid w:val="00D1109F"/>
    <w:rsid w:val="00D1129B"/>
    <w:rsid w:val="00D11372"/>
    <w:rsid w:val="00D11472"/>
    <w:rsid w:val="00D1184F"/>
    <w:rsid w:val="00D11D5A"/>
    <w:rsid w:val="00D122F8"/>
    <w:rsid w:val="00D13662"/>
    <w:rsid w:val="00D13C47"/>
    <w:rsid w:val="00D13F57"/>
    <w:rsid w:val="00D14644"/>
    <w:rsid w:val="00D14CCC"/>
    <w:rsid w:val="00D14D6C"/>
    <w:rsid w:val="00D15419"/>
    <w:rsid w:val="00D155B5"/>
    <w:rsid w:val="00D15EB7"/>
    <w:rsid w:val="00D165FE"/>
    <w:rsid w:val="00D16700"/>
    <w:rsid w:val="00D169BE"/>
    <w:rsid w:val="00D16C28"/>
    <w:rsid w:val="00D17206"/>
    <w:rsid w:val="00D173CF"/>
    <w:rsid w:val="00D1775C"/>
    <w:rsid w:val="00D17C55"/>
    <w:rsid w:val="00D207E9"/>
    <w:rsid w:val="00D211DF"/>
    <w:rsid w:val="00D223F5"/>
    <w:rsid w:val="00D23090"/>
    <w:rsid w:val="00D2313F"/>
    <w:rsid w:val="00D23558"/>
    <w:rsid w:val="00D235B1"/>
    <w:rsid w:val="00D237DB"/>
    <w:rsid w:val="00D23E3A"/>
    <w:rsid w:val="00D24698"/>
    <w:rsid w:val="00D24AFF"/>
    <w:rsid w:val="00D24B84"/>
    <w:rsid w:val="00D24EED"/>
    <w:rsid w:val="00D25555"/>
    <w:rsid w:val="00D25724"/>
    <w:rsid w:val="00D25CAD"/>
    <w:rsid w:val="00D25DBC"/>
    <w:rsid w:val="00D2610B"/>
    <w:rsid w:val="00D278A3"/>
    <w:rsid w:val="00D27CED"/>
    <w:rsid w:val="00D301B4"/>
    <w:rsid w:val="00D3044B"/>
    <w:rsid w:val="00D30503"/>
    <w:rsid w:val="00D30607"/>
    <w:rsid w:val="00D3080F"/>
    <w:rsid w:val="00D30CAB"/>
    <w:rsid w:val="00D30EF7"/>
    <w:rsid w:val="00D31238"/>
    <w:rsid w:val="00D31A6F"/>
    <w:rsid w:val="00D323B6"/>
    <w:rsid w:val="00D32458"/>
    <w:rsid w:val="00D327D9"/>
    <w:rsid w:val="00D32B42"/>
    <w:rsid w:val="00D32D1B"/>
    <w:rsid w:val="00D33290"/>
    <w:rsid w:val="00D33435"/>
    <w:rsid w:val="00D33E34"/>
    <w:rsid w:val="00D3440E"/>
    <w:rsid w:val="00D34759"/>
    <w:rsid w:val="00D34945"/>
    <w:rsid w:val="00D35160"/>
    <w:rsid w:val="00D352B8"/>
    <w:rsid w:val="00D355B9"/>
    <w:rsid w:val="00D3574B"/>
    <w:rsid w:val="00D3579D"/>
    <w:rsid w:val="00D35D4B"/>
    <w:rsid w:val="00D35D73"/>
    <w:rsid w:val="00D35EC6"/>
    <w:rsid w:val="00D361A2"/>
    <w:rsid w:val="00D361EF"/>
    <w:rsid w:val="00D37C39"/>
    <w:rsid w:val="00D37C3E"/>
    <w:rsid w:val="00D37ED6"/>
    <w:rsid w:val="00D40591"/>
    <w:rsid w:val="00D40880"/>
    <w:rsid w:val="00D40AAC"/>
    <w:rsid w:val="00D40E59"/>
    <w:rsid w:val="00D41004"/>
    <w:rsid w:val="00D4156F"/>
    <w:rsid w:val="00D41607"/>
    <w:rsid w:val="00D41F03"/>
    <w:rsid w:val="00D42940"/>
    <w:rsid w:val="00D42A98"/>
    <w:rsid w:val="00D42E9C"/>
    <w:rsid w:val="00D4305E"/>
    <w:rsid w:val="00D43B57"/>
    <w:rsid w:val="00D43BBD"/>
    <w:rsid w:val="00D44046"/>
    <w:rsid w:val="00D4413A"/>
    <w:rsid w:val="00D4468D"/>
    <w:rsid w:val="00D44A9D"/>
    <w:rsid w:val="00D44EB4"/>
    <w:rsid w:val="00D45315"/>
    <w:rsid w:val="00D45538"/>
    <w:rsid w:val="00D457FA"/>
    <w:rsid w:val="00D45837"/>
    <w:rsid w:val="00D458A0"/>
    <w:rsid w:val="00D45944"/>
    <w:rsid w:val="00D469E1"/>
    <w:rsid w:val="00D47019"/>
    <w:rsid w:val="00D4765C"/>
    <w:rsid w:val="00D479AD"/>
    <w:rsid w:val="00D47A86"/>
    <w:rsid w:val="00D47AB9"/>
    <w:rsid w:val="00D512E2"/>
    <w:rsid w:val="00D5179E"/>
    <w:rsid w:val="00D518FC"/>
    <w:rsid w:val="00D52563"/>
    <w:rsid w:val="00D5295C"/>
    <w:rsid w:val="00D5306E"/>
    <w:rsid w:val="00D533A4"/>
    <w:rsid w:val="00D536CC"/>
    <w:rsid w:val="00D536DF"/>
    <w:rsid w:val="00D5377D"/>
    <w:rsid w:val="00D537A8"/>
    <w:rsid w:val="00D53821"/>
    <w:rsid w:val="00D53C79"/>
    <w:rsid w:val="00D53E94"/>
    <w:rsid w:val="00D541E3"/>
    <w:rsid w:val="00D54347"/>
    <w:rsid w:val="00D54624"/>
    <w:rsid w:val="00D547A4"/>
    <w:rsid w:val="00D54A4A"/>
    <w:rsid w:val="00D55056"/>
    <w:rsid w:val="00D55103"/>
    <w:rsid w:val="00D5578E"/>
    <w:rsid w:val="00D55EF1"/>
    <w:rsid w:val="00D560E8"/>
    <w:rsid w:val="00D56114"/>
    <w:rsid w:val="00D57AC5"/>
    <w:rsid w:val="00D57E4A"/>
    <w:rsid w:val="00D6023E"/>
    <w:rsid w:val="00D6069A"/>
    <w:rsid w:val="00D60E70"/>
    <w:rsid w:val="00D6149E"/>
    <w:rsid w:val="00D62453"/>
    <w:rsid w:val="00D62972"/>
    <w:rsid w:val="00D62D51"/>
    <w:rsid w:val="00D62DBC"/>
    <w:rsid w:val="00D62DE2"/>
    <w:rsid w:val="00D632DA"/>
    <w:rsid w:val="00D63B90"/>
    <w:rsid w:val="00D63DF6"/>
    <w:rsid w:val="00D64A2C"/>
    <w:rsid w:val="00D64DA9"/>
    <w:rsid w:val="00D65558"/>
    <w:rsid w:val="00D65A18"/>
    <w:rsid w:val="00D65BE2"/>
    <w:rsid w:val="00D65EFE"/>
    <w:rsid w:val="00D66287"/>
    <w:rsid w:val="00D663EA"/>
    <w:rsid w:val="00D6682A"/>
    <w:rsid w:val="00D6713F"/>
    <w:rsid w:val="00D674E4"/>
    <w:rsid w:val="00D67535"/>
    <w:rsid w:val="00D67AFA"/>
    <w:rsid w:val="00D67E67"/>
    <w:rsid w:val="00D70948"/>
    <w:rsid w:val="00D70A53"/>
    <w:rsid w:val="00D70C91"/>
    <w:rsid w:val="00D70E72"/>
    <w:rsid w:val="00D710D0"/>
    <w:rsid w:val="00D717B3"/>
    <w:rsid w:val="00D72200"/>
    <w:rsid w:val="00D7244B"/>
    <w:rsid w:val="00D727F5"/>
    <w:rsid w:val="00D72AA2"/>
    <w:rsid w:val="00D72D78"/>
    <w:rsid w:val="00D7336E"/>
    <w:rsid w:val="00D736FF"/>
    <w:rsid w:val="00D73B34"/>
    <w:rsid w:val="00D755C0"/>
    <w:rsid w:val="00D75AFA"/>
    <w:rsid w:val="00D75B58"/>
    <w:rsid w:val="00D75C91"/>
    <w:rsid w:val="00D75C9E"/>
    <w:rsid w:val="00D75ED0"/>
    <w:rsid w:val="00D764C8"/>
    <w:rsid w:val="00D765A3"/>
    <w:rsid w:val="00D769DD"/>
    <w:rsid w:val="00D77467"/>
    <w:rsid w:val="00D775B5"/>
    <w:rsid w:val="00D8048D"/>
    <w:rsid w:val="00D80491"/>
    <w:rsid w:val="00D808E2"/>
    <w:rsid w:val="00D80F50"/>
    <w:rsid w:val="00D81A59"/>
    <w:rsid w:val="00D81A9E"/>
    <w:rsid w:val="00D81C9A"/>
    <w:rsid w:val="00D81E45"/>
    <w:rsid w:val="00D82144"/>
    <w:rsid w:val="00D82297"/>
    <w:rsid w:val="00D83AFE"/>
    <w:rsid w:val="00D83B66"/>
    <w:rsid w:val="00D83D5B"/>
    <w:rsid w:val="00D83E7F"/>
    <w:rsid w:val="00D83FDE"/>
    <w:rsid w:val="00D84795"/>
    <w:rsid w:val="00D851E5"/>
    <w:rsid w:val="00D85255"/>
    <w:rsid w:val="00D85CFB"/>
    <w:rsid w:val="00D85D33"/>
    <w:rsid w:val="00D85FAD"/>
    <w:rsid w:val="00D86A64"/>
    <w:rsid w:val="00D86A89"/>
    <w:rsid w:val="00D86C61"/>
    <w:rsid w:val="00D86C89"/>
    <w:rsid w:val="00D86E81"/>
    <w:rsid w:val="00D870C0"/>
    <w:rsid w:val="00D877D0"/>
    <w:rsid w:val="00D87A94"/>
    <w:rsid w:val="00D87BAC"/>
    <w:rsid w:val="00D87F92"/>
    <w:rsid w:val="00D9022F"/>
    <w:rsid w:val="00D9044E"/>
    <w:rsid w:val="00D9046B"/>
    <w:rsid w:val="00D91099"/>
    <w:rsid w:val="00D9128B"/>
    <w:rsid w:val="00D916B3"/>
    <w:rsid w:val="00D91826"/>
    <w:rsid w:val="00D92723"/>
    <w:rsid w:val="00D928C6"/>
    <w:rsid w:val="00D92C7E"/>
    <w:rsid w:val="00D92D35"/>
    <w:rsid w:val="00D92D83"/>
    <w:rsid w:val="00D92EE5"/>
    <w:rsid w:val="00D933CF"/>
    <w:rsid w:val="00D93567"/>
    <w:rsid w:val="00D936FA"/>
    <w:rsid w:val="00D939D7"/>
    <w:rsid w:val="00D93AA7"/>
    <w:rsid w:val="00D940A5"/>
    <w:rsid w:val="00D9463F"/>
    <w:rsid w:val="00D9489F"/>
    <w:rsid w:val="00D956E8"/>
    <w:rsid w:val="00D9591C"/>
    <w:rsid w:val="00D9606C"/>
    <w:rsid w:val="00D968A5"/>
    <w:rsid w:val="00D9745E"/>
    <w:rsid w:val="00D975B8"/>
    <w:rsid w:val="00DA03C1"/>
    <w:rsid w:val="00DA1106"/>
    <w:rsid w:val="00DA1FAE"/>
    <w:rsid w:val="00DA266E"/>
    <w:rsid w:val="00DA2875"/>
    <w:rsid w:val="00DA2969"/>
    <w:rsid w:val="00DA34A4"/>
    <w:rsid w:val="00DA34D7"/>
    <w:rsid w:val="00DA4C89"/>
    <w:rsid w:val="00DA538C"/>
    <w:rsid w:val="00DA58C5"/>
    <w:rsid w:val="00DA58F2"/>
    <w:rsid w:val="00DA5E29"/>
    <w:rsid w:val="00DA5F7A"/>
    <w:rsid w:val="00DA658B"/>
    <w:rsid w:val="00DA6B58"/>
    <w:rsid w:val="00DA6C1A"/>
    <w:rsid w:val="00DB0167"/>
    <w:rsid w:val="00DB0297"/>
    <w:rsid w:val="00DB02F9"/>
    <w:rsid w:val="00DB0844"/>
    <w:rsid w:val="00DB111C"/>
    <w:rsid w:val="00DB144A"/>
    <w:rsid w:val="00DB15E7"/>
    <w:rsid w:val="00DB184F"/>
    <w:rsid w:val="00DB190B"/>
    <w:rsid w:val="00DB1918"/>
    <w:rsid w:val="00DB1CCA"/>
    <w:rsid w:val="00DB1EAF"/>
    <w:rsid w:val="00DB2079"/>
    <w:rsid w:val="00DB2228"/>
    <w:rsid w:val="00DB26AA"/>
    <w:rsid w:val="00DB271C"/>
    <w:rsid w:val="00DB2C74"/>
    <w:rsid w:val="00DB325C"/>
    <w:rsid w:val="00DB32F2"/>
    <w:rsid w:val="00DB357F"/>
    <w:rsid w:val="00DB3A0A"/>
    <w:rsid w:val="00DB3F60"/>
    <w:rsid w:val="00DB492A"/>
    <w:rsid w:val="00DB5477"/>
    <w:rsid w:val="00DB5A45"/>
    <w:rsid w:val="00DB5B03"/>
    <w:rsid w:val="00DB60F0"/>
    <w:rsid w:val="00DB6E3F"/>
    <w:rsid w:val="00DB71D2"/>
    <w:rsid w:val="00DB7211"/>
    <w:rsid w:val="00DB7A48"/>
    <w:rsid w:val="00DB7B85"/>
    <w:rsid w:val="00DB7CF4"/>
    <w:rsid w:val="00DC0014"/>
    <w:rsid w:val="00DC02C9"/>
    <w:rsid w:val="00DC0869"/>
    <w:rsid w:val="00DC0875"/>
    <w:rsid w:val="00DC09BD"/>
    <w:rsid w:val="00DC0A56"/>
    <w:rsid w:val="00DC0B4C"/>
    <w:rsid w:val="00DC0CA4"/>
    <w:rsid w:val="00DC0EA9"/>
    <w:rsid w:val="00DC17DD"/>
    <w:rsid w:val="00DC25CE"/>
    <w:rsid w:val="00DC2B6F"/>
    <w:rsid w:val="00DC2EDA"/>
    <w:rsid w:val="00DC32FE"/>
    <w:rsid w:val="00DC391D"/>
    <w:rsid w:val="00DC3B65"/>
    <w:rsid w:val="00DC3F17"/>
    <w:rsid w:val="00DC4881"/>
    <w:rsid w:val="00DC4B8A"/>
    <w:rsid w:val="00DC5002"/>
    <w:rsid w:val="00DC514C"/>
    <w:rsid w:val="00DC52DA"/>
    <w:rsid w:val="00DC5755"/>
    <w:rsid w:val="00DC5B52"/>
    <w:rsid w:val="00DC5D4E"/>
    <w:rsid w:val="00DC6D62"/>
    <w:rsid w:val="00DC6ED2"/>
    <w:rsid w:val="00DC76CB"/>
    <w:rsid w:val="00DD060F"/>
    <w:rsid w:val="00DD0628"/>
    <w:rsid w:val="00DD0C11"/>
    <w:rsid w:val="00DD107E"/>
    <w:rsid w:val="00DD128D"/>
    <w:rsid w:val="00DD19CE"/>
    <w:rsid w:val="00DD1A31"/>
    <w:rsid w:val="00DD1D5A"/>
    <w:rsid w:val="00DD1FA1"/>
    <w:rsid w:val="00DD3160"/>
    <w:rsid w:val="00DD3167"/>
    <w:rsid w:val="00DD344E"/>
    <w:rsid w:val="00DD3865"/>
    <w:rsid w:val="00DD3C25"/>
    <w:rsid w:val="00DD42E5"/>
    <w:rsid w:val="00DD435F"/>
    <w:rsid w:val="00DD4729"/>
    <w:rsid w:val="00DD4791"/>
    <w:rsid w:val="00DD488C"/>
    <w:rsid w:val="00DD4968"/>
    <w:rsid w:val="00DD4CD7"/>
    <w:rsid w:val="00DD526C"/>
    <w:rsid w:val="00DD52FF"/>
    <w:rsid w:val="00DD5629"/>
    <w:rsid w:val="00DD574D"/>
    <w:rsid w:val="00DD6CA8"/>
    <w:rsid w:val="00DD6CB3"/>
    <w:rsid w:val="00DD6DCB"/>
    <w:rsid w:val="00DD6F6E"/>
    <w:rsid w:val="00DD7B11"/>
    <w:rsid w:val="00DE044B"/>
    <w:rsid w:val="00DE152C"/>
    <w:rsid w:val="00DE197C"/>
    <w:rsid w:val="00DE20C9"/>
    <w:rsid w:val="00DE2317"/>
    <w:rsid w:val="00DE2A92"/>
    <w:rsid w:val="00DE3AA3"/>
    <w:rsid w:val="00DE3D82"/>
    <w:rsid w:val="00DE4168"/>
    <w:rsid w:val="00DE7373"/>
    <w:rsid w:val="00DE7393"/>
    <w:rsid w:val="00DE75B2"/>
    <w:rsid w:val="00DF0051"/>
    <w:rsid w:val="00DF054F"/>
    <w:rsid w:val="00DF089A"/>
    <w:rsid w:val="00DF0D25"/>
    <w:rsid w:val="00DF17D5"/>
    <w:rsid w:val="00DF2329"/>
    <w:rsid w:val="00DF27E3"/>
    <w:rsid w:val="00DF2A2D"/>
    <w:rsid w:val="00DF2ACE"/>
    <w:rsid w:val="00DF2EBD"/>
    <w:rsid w:val="00DF3335"/>
    <w:rsid w:val="00DF3442"/>
    <w:rsid w:val="00DF3A8D"/>
    <w:rsid w:val="00DF4A78"/>
    <w:rsid w:val="00DF5081"/>
    <w:rsid w:val="00DF5584"/>
    <w:rsid w:val="00DF5602"/>
    <w:rsid w:val="00DF5AF1"/>
    <w:rsid w:val="00DF6202"/>
    <w:rsid w:val="00DF64FE"/>
    <w:rsid w:val="00DF676B"/>
    <w:rsid w:val="00DF69A3"/>
    <w:rsid w:val="00DF6CC2"/>
    <w:rsid w:val="00DF7413"/>
    <w:rsid w:val="00DF7D44"/>
    <w:rsid w:val="00DF7EC1"/>
    <w:rsid w:val="00E005A3"/>
    <w:rsid w:val="00E01062"/>
    <w:rsid w:val="00E01B0E"/>
    <w:rsid w:val="00E01CF5"/>
    <w:rsid w:val="00E01DE2"/>
    <w:rsid w:val="00E01EE9"/>
    <w:rsid w:val="00E03B92"/>
    <w:rsid w:val="00E04692"/>
    <w:rsid w:val="00E0549C"/>
    <w:rsid w:val="00E0550F"/>
    <w:rsid w:val="00E05C31"/>
    <w:rsid w:val="00E065B1"/>
    <w:rsid w:val="00E06E0B"/>
    <w:rsid w:val="00E071AB"/>
    <w:rsid w:val="00E07802"/>
    <w:rsid w:val="00E106A5"/>
    <w:rsid w:val="00E112DD"/>
    <w:rsid w:val="00E11A21"/>
    <w:rsid w:val="00E11C2B"/>
    <w:rsid w:val="00E11C8D"/>
    <w:rsid w:val="00E127D0"/>
    <w:rsid w:val="00E12943"/>
    <w:rsid w:val="00E132C5"/>
    <w:rsid w:val="00E13E2A"/>
    <w:rsid w:val="00E13FF9"/>
    <w:rsid w:val="00E14454"/>
    <w:rsid w:val="00E14BB1"/>
    <w:rsid w:val="00E14E3C"/>
    <w:rsid w:val="00E14F94"/>
    <w:rsid w:val="00E156DE"/>
    <w:rsid w:val="00E15A1A"/>
    <w:rsid w:val="00E163E1"/>
    <w:rsid w:val="00E16983"/>
    <w:rsid w:val="00E170C0"/>
    <w:rsid w:val="00E1715D"/>
    <w:rsid w:val="00E173CC"/>
    <w:rsid w:val="00E177F7"/>
    <w:rsid w:val="00E20257"/>
    <w:rsid w:val="00E207F6"/>
    <w:rsid w:val="00E20A50"/>
    <w:rsid w:val="00E20B04"/>
    <w:rsid w:val="00E20C0D"/>
    <w:rsid w:val="00E213BB"/>
    <w:rsid w:val="00E21431"/>
    <w:rsid w:val="00E21522"/>
    <w:rsid w:val="00E2171B"/>
    <w:rsid w:val="00E21BC7"/>
    <w:rsid w:val="00E21D17"/>
    <w:rsid w:val="00E21F01"/>
    <w:rsid w:val="00E2201B"/>
    <w:rsid w:val="00E2354C"/>
    <w:rsid w:val="00E236D5"/>
    <w:rsid w:val="00E23907"/>
    <w:rsid w:val="00E23E7C"/>
    <w:rsid w:val="00E24371"/>
    <w:rsid w:val="00E2450C"/>
    <w:rsid w:val="00E2554C"/>
    <w:rsid w:val="00E25A34"/>
    <w:rsid w:val="00E25B34"/>
    <w:rsid w:val="00E25D23"/>
    <w:rsid w:val="00E26002"/>
    <w:rsid w:val="00E26435"/>
    <w:rsid w:val="00E27012"/>
    <w:rsid w:val="00E27243"/>
    <w:rsid w:val="00E27BFF"/>
    <w:rsid w:val="00E30045"/>
    <w:rsid w:val="00E30185"/>
    <w:rsid w:val="00E306FD"/>
    <w:rsid w:val="00E307B0"/>
    <w:rsid w:val="00E308A7"/>
    <w:rsid w:val="00E3090B"/>
    <w:rsid w:val="00E30966"/>
    <w:rsid w:val="00E30FE1"/>
    <w:rsid w:val="00E31621"/>
    <w:rsid w:val="00E31934"/>
    <w:rsid w:val="00E329C0"/>
    <w:rsid w:val="00E33657"/>
    <w:rsid w:val="00E34019"/>
    <w:rsid w:val="00E34279"/>
    <w:rsid w:val="00E348C4"/>
    <w:rsid w:val="00E34AB1"/>
    <w:rsid w:val="00E34CA7"/>
    <w:rsid w:val="00E355C9"/>
    <w:rsid w:val="00E35ED2"/>
    <w:rsid w:val="00E35FDB"/>
    <w:rsid w:val="00E361C7"/>
    <w:rsid w:val="00E36E75"/>
    <w:rsid w:val="00E37059"/>
    <w:rsid w:val="00E400AD"/>
    <w:rsid w:val="00E40F37"/>
    <w:rsid w:val="00E41085"/>
    <w:rsid w:val="00E41148"/>
    <w:rsid w:val="00E41B68"/>
    <w:rsid w:val="00E41D55"/>
    <w:rsid w:val="00E4259A"/>
    <w:rsid w:val="00E4326E"/>
    <w:rsid w:val="00E435B7"/>
    <w:rsid w:val="00E44395"/>
    <w:rsid w:val="00E446E6"/>
    <w:rsid w:val="00E447F8"/>
    <w:rsid w:val="00E449AB"/>
    <w:rsid w:val="00E44C71"/>
    <w:rsid w:val="00E452C4"/>
    <w:rsid w:val="00E454FD"/>
    <w:rsid w:val="00E45770"/>
    <w:rsid w:val="00E457A3"/>
    <w:rsid w:val="00E457BE"/>
    <w:rsid w:val="00E45C2C"/>
    <w:rsid w:val="00E45E07"/>
    <w:rsid w:val="00E45EB5"/>
    <w:rsid w:val="00E463A4"/>
    <w:rsid w:val="00E46600"/>
    <w:rsid w:val="00E47303"/>
    <w:rsid w:val="00E474BD"/>
    <w:rsid w:val="00E47542"/>
    <w:rsid w:val="00E5024E"/>
    <w:rsid w:val="00E50559"/>
    <w:rsid w:val="00E5086C"/>
    <w:rsid w:val="00E5098E"/>
    <w:rsid w:val="00E50CB3"/>
    <w:rsid w:val="00E51F41"/>
    <w:rsid w:val="00E526B5"/>
    <w:rsid w:val="00E52E93"/>
    <w:rsid w:val="00E536A3"/>
    <w:rsid w:val="00E5395D"/>
    <w:rsid w:val="00E540EC"/>
    <w:rsid w:val="00E5445B"/>
    <w:rsid w:val="00E54D9A"/>
    <w:rsid w:val="00E54F7E"/>
    <w:rsid w:val="00E55135"/>
    <w:rsid w:val="00E554BC"/>
    <w:rsid w:val="00E55600"/>
    <w:rsid w:val="00E55686"/>
    <w:rsid w:val="00E55A4B"/>
    <w:rsid w:val="00E55B10"/>
    <w:rsid w:val="00E55DB5"/>
    <w:rsid w:val="00E55DB6"/>
    <w:rsid w:val="00E560AA"/>
    <w:rsid w:val="00E564AA"/>
    <w:rsid w:val="00E56645"/>
    <w:rsid w:val="00E602E1"/>
    <w:rsid w:val="00E61AF7"/>
    <w:rsid w:val="00E623F3"/>
    <w:rsid w:val="00E6269A"/>
    <w:rsid w:val="00E6269B"/>
    <w:rsid w:val="00E62A5D"/>
    <w:rsid w:val="00E63079"/>
    <w:rsid w:val="00E63264"/>
    <w:rsid w:val="00E632BB"/>
    <w:rsid w:val="00E63848"/>
    <w:rsid w:val="00E63F8D"/>
    <w:rsid w:val="00E640C5"/>
    <w:rsid w:val="00E643BE"/>
    <w:rsid w:val="00E64404"/>
    <w:rsid w:val="00E6444B"/>
    <w:rsid w:val="00E64935"/>
    <w:rsid w:val="00E64DD1"/>
    <w:rsid w:val="00E64E5E"/>
    <w:rsid w:val="00E64EE7"/>
    <w:rsid w:val="00E64FC4"/>
    <w:rsid w:val="00E654EA"/>
    <w:rsid w:val="00E65C6F"/>
    <w:rsid w:val="00E665FC"/>
    <w:rsid w:val="00E6767D"/>
    <w:rsid w:val="00E67EB3"/>
    <w:rsid w:val="00E67F30"/>
    <w:rsid w:val="00E67FE8"/>
    <w:rsid w:val="00E7012F"/>
    <w:rsid w:val="00E703DC"/>
    <w:rsid w:val="00E709D0"/>
    <w:rsid w:val="00E71CD6"/>
    <w:rsid w:val="00E71E5A"/>
    <w:rsid w:val="00E71EF3"/>
    <w:rsid w:val="00E721D9"/>
    <w:rsid w:val="00E72249"/>
    <w:rsid w:val="00E722FC"/>
    <w:rsid w:val="00E727B7"/>
    <w:rsid w:val="00E72DBF"/>
    <w:rsid w:val="00E72E84"/>
    <w:rsid w:val="00E72F98"/>
    <w:rsid w:val="00E730D6"/>
    <w:rsid w:val="00E73CCA"/>
    <w:rsid w:val="00E74220"/>
    <w:rsid w:val="00E746C0"/>
    <w:rsid w:val="00E74754"/>
    <w:rsid w:val="00E74EC5"/>
    <w:rsid w:val="00E74F28"/>
    <w:rsid w:val="00E74FE0"/>
    <w:rsid w:val="00E7526D"/>
    <w:rsid w:val="00E762EC"/>
    <w:rsid w:val="00E773B3"/>
    <w:rsid w:val="00E77CB3"/>
    <w:rsid w:val="00E8020B"/>
    <w:rsid w:val="00E804F6"/>
    <w:rsid w:val="00E80DCC"/>
    <w:rsid w:val="00E8206A"/>
    <w:rsid w:val="00E82205"/>
    <w:rsid w:val="00E829E4"/>
    <w:rsid w:val="00E82A20"/>
    <w:rsid w:val="00E82A4F"/>
    <w:rsid w:val="00E82C32"/>
    <w:rsid w:val="00E82C4C"/>
    <w:rsid w:val="00E82C84"/>
    <w:rsid w:val="00E82DB5"/>
    <w:rsid w:val="00E82EA7"/>
    <w:rsid w:val="00E83665"/>
    <w:rsid w:val="00E836D4"/>
    <w:rsid w:val="00E83BA5"/>
    <w:rsid w:val="00E83F3C"/>
    <w:rsid w:val="00E849C8"/>
    <w:rsid w:val="00E84B29"/>
    <w:rsid w:val="00E84C14"/>
    <w:rsid w:val="00E852E7"/>
    <w:rsid w:val="00E85305"/>
    <w:rsid w:val="00E85B19"/>
    <w:rsid w:val="00E861DD"/>
    <w:rsid w:val="00E863B6"/>
    <w:rsid w:val="00E86A0F"/>
    <w:rsid w:val="00E86AA9"/>
    <w:rsid w:val="00E86CDD"/>
    <w:rsid w:val="00E876D3"/>
    <w:rsid w:val="00E87E5B"/>
    <w:rsid w:val="00E9050B"/>
    <w:rsid w:val="00E90B93"/>
    <w:rsid w:val="00E90D82"/>
    <w:rsid w:val="00E90E19"/>
    <w:rsid w:val="00E91265"/>
    <w:rsid w:val="00E92775"/>
    <w:rsid w:val="00E9281F"/>
    <w:rsid w:val="00E92C09"/>
    <w:rsid w:val="00E92E32"/>
    <w:rsid w:val="00E93C29"/>
    <w:rsid w:val="00E93CAC"/>
    <w:rsid w:val="00E93D82"/>
    <w:rsid w:val="00E9417A"/>
    <w:rsid w:val="00E94772"/>
    <w:rsid w:val="00E94F00"/>
    <w:rsid w:val="00E95038"/>
    <w:rsid w:val="00E953A5"/>
    <w:rsid w:val="00E956F3"/>
    <w:rsid w:val="00E959A8"/>
    <w:rsid w:val="00E95A76"/>
    <w:rsid w:val="00E95D01"/>
    <w:rsid w:val="00E95E40"/>
    <w:rsid w:val="00E961FF"/>
    <w:rsid w:val="00E967EF"/>
    <w:rsid w:val="00E97A11"/>
    <w:rsid w:val="00E97BFF"/>
    <w:rsid w:val="00EA01E5"/>
    <w:rsid w:val="00EA0B4C"/>
    <w:rsid w:val="00EA0E63"/>
    <w:rsid w:val="00EA0EDE"/>
    <w:rsid w:val="00EA112D"/>
    <w:rsid w:val="00EA137C"/>
    <w:rsid w:val="00EA1538"/>
    <w:rsid w:val="00EA1A8B"/>
    <w:rsid w:val="00EA1B01"/>
    <w:rsid w:val="00EA1DF9"/>
    <w:rsid w:val="00EA1F5A"/>
    <w:rsid w:val="00EA2260"/>
    <w:rsid w:val="00EA24B9"/>
    <w:rsid w:val="00EA261D"/>
    <w:rsid w:val="00EA319E"/>
    <w:rsid w:val="00EA34B9"/>
    <w:rsid w:val="00EA37A3"/>
    <w:rsid w:val="00EA37FB"/>
    <w:rsid w:val="00EA3C06"/>
    <w:rsid w:val="00EA3EFD"/>
    <w:rsid w:val="00EA4099"/>
    <w:rsid w:val="00EA44E8"/>
    <w:rsid w:val="00EA45B1"/>
    <w:rsid w:val="00EA4736"/>
    <w:rsid w:val="00EA5190"/>
    <w:rsid w:val="00EA565B"/>
    <w:rsid w:val="00EA5E82"/>
    <w:rsid w:val="00EA6345"/>
    <w:rsid w:val="00EA6B76"/>
    <w:rsid w:val="00EA6D39"/>
    <w:rsid w:val="00EA704E"/>
    <w:rsid w:val="00EA757B"/>
    <w:rsid w:val="00EA763B"/>
    <w:rsid w:val="00EA7E33"/>
    <w:rsid w:val="00EA7F14"/>
    <w:rsid w:val="00EB03C8"/>
    <w:rsid w:val="00EB0481"/>
    <w:rsid w:val="00EB04A3"/>
    <w:rsid w:val="00EB0841"/>
    <w:rsid w:val="00EB0B64"/>
    <w:rsid w:val="00EB0C54"/>
    <w:rsid w:val="00EB135B"/>
    <w:rsid w:val="00EB1D64"/>
    <w:rsid w:val="00EB2558"/>
    <w:rsid w:val="00EB2E09"/>
    <w:rsid w:val="00EB3614"/>
    <w:rsid w:val="00EB4324"/>
    <w:rsid w:val="00EB44E1"/>
    <w:rsid w:val="00EB468F"/>
    <w:rsid w:val="00EB46FC"/>
    <w:rsid w:val="00EB50D7"/>
    <w:rsid w:val="00EB515A"/>
    <w:rsid w:val="00EB539B"/>
    <w:rsid w:val="00EB5BAD"/>
    <w:rsid w:val="00EB5EEF"/>
    <w:rsid w:val="00EB653F"/>
    <w:rsid w:val="00EB6620"/>
    <w:rsid w:val="00EB677E"/>
    <w:rsid w:val="00EB6B2F"/>
    <w:rsid w:val="00EB6BAC"/>
    <w:rsid w:val="00EB7EAE"/>
    <w:rsid w:val="00EC036A"/>
    <w:rsid w:val="00EC088C"/>
    <w:rsid w:val="00EC0E8A"/>
    <w:rsid w:val="00EC2A12"/>
    <w:rsid w:val="00EC2F11"/>
    <w:rsid w:val="00EC3174"/>
    <w:rsid w:val="00EC3267"/>
    <w:rsid w:val="00EC39EF"/>
    <w:rsid w:val="00EC4181"/>
    <w:rsid w:val="00EC4329"/>
    <w:rsid w:val="00EC4804"/>
    <w:rsid w:val="00EC4C42"/>
    <w:rsid w:val="00EC5029"/>
    <w:rsid w:val="00EC52AA"/>
    <w:rsid w:val="00EC5CE2"/>
    <w:rsid w:val="00EC62E2"/>
    <w:rsid w:val="00EC65AE"/>
    <w:rsid w:val="00EC6A0E"/>
    <w:rsid w:val="00EC6BA0"/>
    <w:rsid w:val="00EC75C1"/>
    <w:rsid w:val="00EC7834"/>
    <w:rsid w:val="00ED0CB0"/>
    <w:rsid w:val="00ED0D47"/>
    <w:rsid w:val="00ED0DE4"/>
    <w:rsid w:val="00ED0EAB"/>
    <w:rsid w:val="00ED12C4"/>
    <w:rsid w:val="00ED13A3"/>
    <w:rsid w:val="00ED1845"/>
    <w:rsid w:val="00ED1DA0"/>
    <w:rsid w:val="00ED1E56"/>
    <w:rsid w:val="00ED1FBA"/>
    <w:rsid w:val="00ED235E"/>
    <w:rsid w:val="00ED2729"/>
    <w:rsid w:val="00ED2A92"/>
    <w:rsid w:val="00ED2B7E"/>
    <w:rsid w:val="00ED2D8A"/>
    <w:rsid w:val="00ED2DD2"/>
    <w:rsid w:val="00ED3902"/>
    <w:rsid w:val="00ED3C50"/>
    <w:rsid w:val="00ED3C93"/>
    <w:rsid w:val="00ED3CC6"/>
    <w:rsid w:val="00ED43C6"/>
    <w:rsid w:val="00ED46D9"/>
    <w:rsid w:val="00ED473A"/>
    <w:rsid w:val="00ED50B5"/>
    <w:rsid w:val="00ED51C8"/>
    <w:rsid w:val="00ED5442"/>
    <w:rsid w:val="00ED547A"/>
    <w:rsid w:val="00ED620C"/>
    <w:rsid w:val="00ED667D"/>
    <w:rsid w:val="00ED6E6E"/>
    <w:rsid w:val="00ED73A1"/>
    <w:rsid w:val="00ED782A"/>
    <w:rsid w:val="00ED7C4B"/>
    <w:rsid w:val="00ED7F11"/>
    <w:rsid w:val="00ED7F50"/>
    <w:rsid w:val="00EE099C"/>
    <w:rsid w:val="00EE0C42"/>
    <w:rsid w:val="00EE0DC6"/>
    <w:rsid w:val="00EE1024"/>
    <w:rsid w:val="00EE1355"/>
    <w:rsid w:val="00EE1A73"/>
    <w:rsid w:val="00EE1D30"/>
    <w:rsid w:val="00EE1E73"/>
    <w:rsid w:val="00EE2438"/>
    <w:rsid w:val="00EE2512"/>
    <w:rsid w:val="00EE2AAC"/>
    <w:rsid w:val="00EE2B8B"/>
    <w:rsid w:val="00EE33AC"/>
    <w:rsid w:val="00EE3802"/>
    <w:rsid w:val="00EE3E93"/>
    <w:rsid w:val="00EE405D"/>
    <w:rsid w:val="00EE4506"/>
    <w:rsid w:val="00EE463A"/>
    <w:rsid w:val="00EE4BB3"/>
    <w:rsid w:val="00EE4D7F"/>
    <w:rsid w:val="00EE516C"/>
    <w:rsid w:val="00EE560B"/>
    <w:rsid w:val="00EE5BAF"/>
    <w:rsid w:val="00EE5F1A"/>
    <w:rsid w:val="00EE5FB3"/>
    <w:rsid w:val="00EE61A1"/>
    <w:rsid w:val="00EE6503"/>
    <w:rsid w:val="00EE6647"/>
    <w:rsid w:val="00EE6E0E"/>
    <w:rsid w:val="00EE744C"/>
    <w:rsid w:val="00EE759A"/>
    <w:rsid w:val="00EE763F"/>
    <w:rsid w:val="00EF00A9"/>
    <w:rsid w:val="00EF0D3E"/>
    <w:rsid w:val="00EF0EA2"/>
    <w:rsid w:val="00EF107A"/>
    <w:rsid w:val="00EF1394"/>
    <w:rsid w:val="00EF1BDF"/>
    <w:rsid w:val="00EF21C0"/>
    <w:rsid w:val="00EF21FA"/>
    <w:rsid w:val="00EF27D3"/>
    <w:rsid w:val="00EF4456"/>
    <w:rsid w:val="00EF46A6"/>
    <w:rsid w:val="00EF49E7"/>
    <w:rsid w:val="00EF4B04"/>
    <w:rsid w:val="00EF4E3A"/>
    <w:rsid w:val="00EF5881"/>
    <w:rsid w:val="00EF5ECB"/>
    <w:rsid w:val="00EF6485"/>
    <w:rsid w:val="00EF6776"/>
    <w:rsid w:val="00EF6861"/>
    <w:rsid w:val="00EF68E3"/>
    <w:rsid w:val="00EF7021"/>
    <w:rsid w:val="00EF702C"/>
    <w:rsid w:val="00EF7417"/>
    <w:rsid w:val="00EF7459"/>
    <w:rsid w:val="00EF7C88"/>
    <w:rsid w:val="00F0001E"/>
    <w:rsid w:val="00F011D2"/>
    <w:rsid w:val="00F01B71"/>
    <w:rsid w:val="00F025B8"/>
    <w:rsid w:val="00F0262D"/>
    <w:rsid w:val="00F029F1"/>
    <w:rsid w:val="00F02E20"/>
    <w:rsid w:val="00F037CA"/>
    <w:rsid w:val="00F03A29"/>
    <w:rsid w:val="00F03AA4"/>
    <w:rsid w:val="00F04193"/>
    <w:rsid w:val="00F04321"/>
    <w:rsid w:val="00F04B0A"/>
    <w:rsid w:val="00F054EB"/>
    <w:rsid w:val="00F05C3F"/>
    <w:rsid w:val="00F0607F"/>
    <w:rsid w:val="00F06578"/>
    <w:rsid w:val="00F0693C"/>
    <w:rsid w:val="00F06ABF"/>
    <w:rsid w:val="00F06CC5"/>
    <w:rsid w:val="00F06ED7"/>
    <w:rsid w:val="00F07169"/>
    <w:rsid w:val="00F10758"/>
    <w:rsid w:val="00F10BDA"/>
    <w:rsid w:val="00F10D77"/>
    <w:rsid w:val="00F10ECA"/>
    <w:rsid w:val="00F11A12"/>
    <w:rsid w:val="00F1252A"/>
    <w:rsid w:val="00F1295C"/>
    <w:rsid w:val="00F129FE"/>
    <w:rsid w:val="00F136D3"/>
    <w:rsid w:val="00F13998"/>
    <w:rsid w:val="00F13FB7"/>
    <w:rsid w:val="00F140C8"/>
    <w:rsid w:val="00F14444"/>
    <w:rsid w:val="00F145D6"/>
    <w:rsid w:val="00F14628"/>
    <w:rsid w:val="00F14692"/>
    <w:rsid w:val="00F14B98"/>
    <w:rsid w:val="00F150C1"/>
    <w:rsid w:val="00F15753"/>
    <w:rsid w:val="00F159DD"/>
    <w:rsid w:val="00F160BC"/>
    <w:rsid w:val="00F16164"/>
    <w:rsid w:val="00F167BA"/>
    <w:rsid w:val="00F1680A"/>
    <w:rsid w:val="00F17076"/>
    <w:rsid w:val="00F17161"/>
    <w:rsid w:val="00F1723A"/>
    <w:rsid w:val="00F17ADB"/>
    <w:rsid w:val="00F17C96"/>
    <w:rsid w:val="00F20157"/>
    <w:rsid w:val="00F210B3"/>
    <w:rsid w:val="00F218E2"/>
    <w:rsid w:val="00F219A0"/>
    <w:rsid w:val="00F21B60"/>
    <w:rsid w:val="00F21BC7"/>
    <w:rsid w:val="00F21BDF"/>
    <w:rsid w:val="00F21E19"/>
    <w:rsid w:val="00F22E30"/>
    <w:rsid w:val="00F236E9"/>
    <w:rsid w:val="00F2378C"/>
    <w:rsid w:val="00F2403D"/>
    <w:rsid w:val="00F24245"/>
    <w:rsid w:val="00F24784"/>
    <w:rsid w:val="00F247A4"/>
    <w:rsid w:val="00F2511E"/>
    <w:rsid w:val="00F25245"/>
    <w:rsid w:val="00F25B50"/>
    <w:rsid w:val="00F260BF"/>
    <w:rsid w:val="00F26244"/>
    <w:rsid w:val="00F26295"/>
    <w:rsid w:val="00F267DF"/>
    <w:rsid w:val="00F26DCD"/>
    <w:rsid w:val="00F272B6"/>
    <w:rsid w:val="00F27BC5"/>
    <w:rsid w:val="00F30151"/>
    <w:rsid w:val="00F30D3A"/>
    <w:rsid w:val="00F30D6C"/>
    <w:rsid w:val="00F3137A"/>
    <w:rsid w:val="00F31651"/>
    <w:rsid w:val="00F3197C"/>
    <w:rsid w:val="00F31B5E"/>
    <w:rsid w:val="00F32851"/>
    <w:rsid w:val="00F32A6B"/>
    <w:rsid w:val="00F32E7D"/>
    <w:rsid w:val="00F33024"/>
    <w:rsid w:val="00F338FB"/>
    <w:rsid w:val="00F33E71"/>
    <w:rsid w:val="00F34FFB"/>
    <w:rsid w:val="00F3512C"/>
    <w:rsid w:val="00F3541A"/>
    <w:rsid w:val="00F3543B"/>
    <w:rsid w:val="00F359C5"/>
    <w:rsid w:val="00F35CA0"/>
    <w:rsid w:val="00F36229"/>
    <w:rsid w:val="00F36485"/>
    <w:rsid w:val="00F3673B"/>
    <w:rsid w:val="00F36C02"/>
    <w:rsid w:val="00F36C58"/>
    <w:rsid w:val="00F36D64"/>
    <w:rsid w:val="00F36E77"/>
    <w:rsid w:val="00F37176"/>
    <w:rsid w:val="00F372B2"/>
    <w:rsid w:val="00F373EF"/>
    <w:rsid w:val="00F37817"/>
    <w:rsid w:val="00F37D26"/>
    <w:rsid w:val="00F403B7"/>
    <w:rsid w:val="00F40448"/>
    <w:rsid w:val="00F40FDD"/>
    <w:rsid w:val="00F410AF"/>
    <w:rsid w:val="00F413D3"/>
    <w:rsid w:val="00F41679"/>
    <w:rsid w:val="00F41AB0"/>
    <w:rsid w:val="00F41AF5"/>
    <w:rsid w:val="00F420D6"/>
    <w:rsid w:val="00F422DD"/>
    <w:rsid w:val="00F42B64"/>
    <w:rsid w:val="00F42D38"/>
    <w:rsid w:val="00F42FF8"/>
    <w:rsid w:val="00F43513"/>
    <w:rsid w:val="00F4370D"/>
    <w:rsid w:val="00F43D9F"/>
    <w:rsid w:val="00F43FEC"/>
    <w:rsid w:val="00F440E7"/>
    <w:rsid w:val="00F44148"/>
    <w:rsid w:val="00F44CDC"/>
    <w:rsid w:val="00F4529E"/>
    <w:rsid w:val="00F455B0"/>
    <w:rsid w:val="00F456DF"/>
    <w:rsid w:val="00F45B28"/>
    <w:rsid w:val="00F45CDF"/>
    <w:rsid w:val="00F45E9D"/>
    <w:rsid w:val="00F468CD"/>
    <w:rsid w:val="00F46AA1"/>
    <w:rsid w:val="00F46C1C"/>
    <w:rsid w:val="00F46C74"/>
    <w:rsid w:val="00F4728C"/>
    <w:rsid w:val="00F47895"/>
    <w:rsid w:val="00F478A8"/>
    <w:rsid w:val="00F4794A"/>
    <w:rsid w:val="00F47968"/>
    <w:rsid w:val="00F47BB7"/>
    <w:rsid w:val="00F47E37"/>
    <w:rsid w:val="00F47F24"/>
    <w:rsid w:val="00F503A5"/>
    <w:rsid w:val="00F50E43"/>
    <w:rsid w:val="00F50F2E"/>
    <w:rsid w:val="00F50FC8"/>
    <w:rsid w:val="00F517D7"/>
    <w:rsid w:val="00F5186E"/>
    <w:rsid w:val="00F51CBF"/>
    <w:rsid w:val="00F51E2A"/>
    <w:rsid w:val="00F521A5"/>
    <w:rsid w:val="00F52463"/>
    <w:rsid w:val="00F52910"/>
    <w:rsid w:val="00F52ACF"/>
    <w:rsid w:val="00F52EF8"/>
    <w:rsid w:val="00F52F91"/>
    <w:rsid w:val="00F53A7E"/>
    <w:rsid w:val="00F53C4E"/>
    <w:rsid w:val="00F555DD"/>
    <w:rsid w:val="00F559E9"/>
    <w:rsid w:val="00F56639"/>
    <w:rsid w:val="00F568ED"/>
    <w:rsid w:val="00F56984"/>
    <w:rsid w:val="00F56A30"/>
    <w:rsid w:val="00F57060"/>
    <w:rsid w:val="00F57446"/>
    <w:rsid w:val="00F57792"/>
    <w:rsid w:val="00F57A27"/>
    <w:rsid w:val="00F57CCE"/>
    <w:rsid w:val="00F57F31"/>
    <w:rsid w:val="00F601ED"/>
    <w:rsid w:val="00F60429"/>
    <w:rsid w:val="00F609E0"/>
    <w:rsid w:val="00F60AA3"/>
    <w:rsid w:val="00F61168"/>
    <w:rsid w:val="00F615CC"/>
    <w:rsid w:val="00F61AE0"/>
    <w:rsid w:val="00F61C4D"/>
    <w:rsid w:val="00F6310A"/>
    <w:rsid w:val="00F63D33"/>
    <w:rsid w:val="00F63E6D"/>
    <w:rsid w:val="00F64150"/>
    <w:rsid w:val="00F6435A"/>
    <w:rsid w:val="00F6459E"/>
    <w:rsid w:val="00F64722"/>
    <w:rsid w:val="00F653F9"/>
    <w:rsid w:val="00F655C0"/>
    <w:rsid w:val="00F6574B"/>
    <w:rsid w:val="00F65836"/>
    <w:rsid w:val="00F65882"/>
    <w:rsid w:val="00F65E1F"/>
    <w:rsid w:val="00F66697"/>
    <w:rsid w:val="00F66747"/>
    <w:rsid w:val="00F667A7"/>
    <w:rsid w:val="00F67081"/>
    <w:rsid w:val="00F670F3"/>
    <w:rsid w:val="00F671DE"/>
    <w:rsid w:val="00F6747E"/>
    <w:rsid w:val="00F674A0"/>
    <w:rsid w:val="00F67924"/>
    <w:rsid w:val="00F679B1"/>
    <w:rsid w:val="00F67D8F"/>
    <w:rsid w:val="00F70231"/>
    <w:rsid w:val="00F7044D"/>
    <w:rsid w:val="00F706EE"/>
    <w:rsid w:val="00F70A1C"/>
    <w:rsid w:val="00F70F45"/>
    <w:rsid w:val="00F714A9"/>
    <w:rsid w:val="00F71B77"/>
    <w:rsid w:val="00F71D87"/>
    <w:rsid w:val="00F71FFF"/>
    <w:rsid w:val="00F72D52"/>
    <w:rsid w:val="00F72F5E"/>
    <w:rsid w:val="00F73BDD"/>
    <w:rsid w:val="00F73D15"/>
    <w:rsid w:val="00F73E3E"/>
    <w:rsid w:val="00F74048"/>
    <w:rsid w:val="00F74366"/>
    <w:rsid w:val="00F74439"/>
    <w:rsid w:val="00F7449C"/>
    <w:rsid w:val="00F74584"/>
    <w:rsid w:val="00F74773"/>
    <w:rsid w:val="00F74B87"/>
    <w:rsid w:val="00F754CC"/>
    <w:rsid w:val="00F75A8A"/>
    <w:rsid w:val="00F75BD2"/>
    <w:rsid w:val="00F75CE5"/>
    <w:rsid w:val="00F75D0D"/>
    <w:rsid w:val="00F75F16"/>
    <w:rsid w:val="00F769AC"/>
    <w:rsid w:val="00F76AF7"/>
    <w:rsid w:val="00F76CC0"/>
    <w:rsid w:val="00F76F5C"/>
    <w:rsid w:val="00F77079"/>
    <w:rsid w:val="00F770AF"/>
    <w:rsid w:val="00F77289"/>
    <w:rsid w:val="00F773C4"/>
    <w:rsid w:val="00F775DD"/>
    <w:rsid w:val="00F777A8"/>
    <w:rsid w:val="00F77DE1"/>
    <w:rsid w:val="00F77E6D"/>
    <w:rsid w:val="00F80104"/>
    <w:rsid w:val="00F80A71"/>
    <w:rsid w:val="00F8100F"/>
    <w:rsid w:val="00F81041"/>
    <w:rsid w:val="00F8171B"/>
    <w:rsid w:val="00F82577"/>
    <w:rsid w:val="00F826A1"/>
    <w:rsid w:val="00F82A51"/>
    <w:rsid w:val="00F82F21"/>
    <w:rsid w:val="00F83300"/>
    <w:rsid w:val="00F838AC"/>
    <w:rsid w:val="00F83BB0"/>
    <w:rsid w:val="00F841B6"/>
    <w:rsid w:val="00F8458C"/>
    <w:rsid w:val="00F849CD"/>
    <w:rsid w:val="00F84E27"/>
    <w:rsid w:val="00F84F92"/>
    <w:rsid w:val="00F84FE8"/>
    <w:rsid w:val="00F85023"/>
    <w:rsid w:val="00F8545E"/>
    <w:rsid w:val="00F859AC"/>
    <w:rsid w:val="00F85BA0"/>
    <w:rsid w:val="00F85D77"/>
    <w:rsid w:val="00F8636C"/>
    <w:rsid w:val="00F867F8"/>
    <w:rsid w:val="00F87020"/>
    <w:rsid w:val="00F875D7"/>
    <w:rsid w:val="00F87640"/>
    <w:rsid w:val="00F8764A"/>
    <w:rsid w:val="00F90623"/>
    <w:rsid w:val="00F90B42"/>
    <w:rsid w:val="00F90D33"/>
    <w:rsid w:val="00F9126F"/>
    <w:rsid w:val="00F91BF8"/>
    <w:rsid w:val="00F923E5"/>
    <w:rsid w:val="00F924EA"/>
    <w:rsid w:val="00F92638"/>
    <w:rsid w:val="00F92B5B"/>
    <w:rsid w:val="00F92B7D"/>
    <w:rsid w:val="00F93855"/>
    <w:rsid w:val="00F93892"/>
    <w:rsid w:val="00F9397E"/>
    <w:rsid w:val="00F93C37"/>
    <w:rsid w:val="00F93CF7"/>
    <w:rsid w:val="00F94170"/>
    <w:rsid w:val="00F94513"/>
    <w:rsid w:val="00F945CC"/>
    <w:rsid w:val="00F94B42"/>
    <w:rsid w:val="00F94B86"/>
    <w:rsid w:val="00F94F7C"/>
    <w:rsid w:val="00F96396"/>
    <w:rsid w:val="00F963AB"/>
    <w:rsid w:val="00F9690A"/>
    <w:rsid w:val="00FA007C"/>
    <w:rsid w:val="00FA00EE"/>
    <w:rsid w:val="00FA02A0"/>
    <w:rsid w:val="00FA086A"/>
    <w:rsid w:val="00FA0BF7"/>
    <w:rsid w:val="00FA146A"/>
    <w:rsid w:val="00FA1982"/>
    <w:rsid w:val="00FA2689"/>
    <w:rsid w:val="00FA2796"/>
    <w:rsid w:val="00FA2EE1"/>
    <w:rsid w:val="00FA35B3"/>
    <w:rsid w:val="00FA383E"/>
    <w:rsid w:val="00FA44A4"/>
    <w:rsid w:val="00FA4B35"/>
    <w:rsid w:val="00FA5364"/>
    <w:rsid w:val="00FA65F8"/>
    <w:rsid w:val="00FA6A1F"/>
    <w:rsid w:val="00FA6B20"/>
    <w:rsid w:val="00FA6CA8"/>
    <w:rsid w:val="00FA7168"/>
    <w:rsid w:val="00FA74A4"/>
    <w:rsid w:val="00FB0080"/>
    <w:rsid w:val="00FB0088"/>
    <w:rsid w:val="00FB014B"/>
    <w:rsid w:val="00FB01F3"/>
    <w:rsid w:val="00FB041D"/>
    <w:rsid w:val="00FB083F"/>
    <w:rsid w:val="00FB1143"/>
    <w:rsid w:val="00FB136F"/>
    <w:rsid w:val="00FB140E"/>
    <w:rsid w:val="00FB14C8"/>
    <w:rsid w:val="00FB1771"/>
    <w:rsid w:val="00FB1CEB"/>
    <w:rsid w:val="00FB1CF3"/>
    <w:rsid w:val="00FB25CB"/>
    <w:rsid w:val="00FB2817"/>
    <w:rsid w:val="00FB2863"/>
    <w:rsid w:val="00FB2BEC"/>
    <w:rsid w:val="00FB31B4"/>
    <w:rsid w:val="00FB4147"/>
    <w:rsid w:val="00FB45EA"/>
    <w:rsid w:val="00FB4DB3"/>
    <w:rsid w:val="00FB57FC"/>
    <w:rsid w:val="00FB58DC"/>
    <w:rsid w:val="00FB5904"/>
    <w:rsid w:val="00FB5F28"/>
    <w:rsid w:val="00FB6CA9"/>
    <w:rsid w:val="00FB7145"/>
    <w:rsid w:val="00FB7707"/>
    <w:rsid w:val="00FB7A5D"/>
    <w:rsid w:val="00FB7CAA"/>
    <w:rsid w:val="00FB7D59"/>
    <w:rsid w:val="00FC00B3"/>
    <w:rsid w:val="00FC0485"/>
    <w:rsid w:val="00FC068F"/>
    <w:rsid w:val="00FC07D7"/>
    <w:rsid w:val="00FC0AAC"/>
    <w:rsid w:val="00FC0E46"/>
    <w:rsid w:val="00FC1982"/>
    <w:rsid w:val="00FC19BA"/>
    <w:rsid w:val="00FC19E3"/>
    <w:rsid w:val="00FC22E9"/>
    <w:rsid w:val="00FC2301"/>
    <w:rsid w:val="00FC2435"/>
    <w:rsid w:val="00FC28A9"/>
    <w:rsid w:val="00FC2A94"/>
    <w:rsid w:val="00FC2B43"/>
    <w:rsid w:val="00FC2F43"/>
    <w:rsid w:val="00FC3118"/>
    <w:rsid w:val="00FC31FD"/>
    <w:rsid w:val="00FC37AB"/>
    <w:rsid w:val="00FC3A3A"/>
    <w:rsid w:val="00FC3A3D"/>
    <w:rsid w:val="00FC3C30"/>
    <w:rsid w:val="00FC403A"/>
    <w:rsid w:val="00FC45B4"/>
    <w:rsid w:val="00FC4861"/>
    <w:rsid w:val="00FC488E"/>
    <w:rsid w:val="00FC4D0C"/>
    <w:rsid w:val="00FC5039"/>
    <w:rsid w:val="00FC53D3"/>
    <w:rsid w:val="00FC5ADC"/>
    <w:rsid w:val="00FC5C46"/>
    <w:rsid w:val="00FC5C62"/>
    <w:rsid w:val="00FC650C"/>
    <w:rsid w:val="00FC68B7"/>
    <w:rsid w:val="00FC693F"/>
    <w:rsid w:val="00FC6994"/>
    <w:rsid w:val="00FC6BF8"/>
    <w:rsid w:val="00FC704B"/>
    <w:rsid w:val="00FC7107"/>
    <w:rsid w:val="00FC753B"/>
    <w:rsid w:val="00FC7685"/>
    <w:rsid w:val="00FC78F4"/>
    <w:rsid w:val="00FC7F79"/>
    <w:rsid w:val="00FD07F3"/>
    <w:rsid w:val="00FD12EF"/>
    <w:rsid w:val="00FD139E"/>
    <w:rsid w:val="00FD1979"/>
    <w:rsid w:val="00FD2716"/>
    <w:rsid w:val="00FD37FC"/>
    <w:rsid w:val="00FD3894"/>
    <w:rsid w:val="00FD3AAA"/>
    <w:rsid w:val="00FD3C49"/>
    <w:rsid w:val="00FD45C8"/>
    <w:rsid w:val="00FD481E"/>
    <w:rsid w:val="00FD4D24"/>
    <w:rsid w:val="00FD4EB9"/>
    <w:rsid w:val="00FD4F77"/>
    <w:rsid w:val="00FD514C"/>
    <w:rsid w:val="00FD5604"/>
    <w:rsid w:val="00FD590F"/>
    <w:rsid w:val="00FD5AD8"/>
    <w:rsid w:val="00FD63FE"/>
    <w:rsid w:val="00FD65C0"/>
    <w:rsid w:val="00FD671F"/>
    <w:rsid w:val="00FD6CEA"/>
    <w:rsid w:val="00FD765A"/>
    <w:rsid w:val="00FD766C"/>
    <w:rsid w:val="00FE01DB"/>
    <w:rsid w:val="00FE0648"/>
    <w:rsid w:val="00FE11F8"/>
    <w:rsid w:val="00FE1465"/>
    <w:rsid w:val="00FE1938"/>
    <w:rsid w:val="00FE19BB"/>
    <w:rsid w:val="00FE19E3"/>
    <w:rsid w:val="00FE1C50"/>
    <w:rsid w:val="00FE2281"/>
    <w:rsid w:val="00FE22A7"/>
    <w:rsid w:val="00FE24A6"/>
    <w:rsid w:val="00FE2E27"/>
    <w:rsid w:val="00FE33E8"/>
    <w:rsid w:val="00FE3DBA"/>
    <w:rsid w:val="00FE413A"/>
    <w:rsid w:val="00FE4378"/>
    <w:rsid w:val="00FE480D"/>
    <w:rsid w:val="00FE4CBA"/>
    <w:rsid w:val="00FE56B4"/>
    <w:rsid w:val="00FE594A"/>
    <w:rsid w:val="00FE5D9B"/>
    <w:rsid w:val="00FE658F"/>
    <w:rsid w:val="00FE7825"/>
    <w:rsid w:val="00FE786E"/>
    <w:rsid w:val="00FE7AAD"/>
    <w:rsid w:val="00FE7B3E"/>
    <w:rsid w:val="00FE7CE0"/>
    <w:rsid w:val="00FF05FB"/>
    <w:rsid w:val="00FF0EA6"/>
    <w:rsid w:val="00FF1159"/>
    <w:rsid w:val="00FF1777"/>
    <w:rsid w:val="00FF18DE"/>
    <w:rsid w:val="00FF1A72"/>
    <w:rsid w:val="00FF1FD9"/>
    <w:rsid w:val="00FF2ED5"/>
    <w:rsid w:val="00FF30F2"/>
    <w:rsid w:val="00FF32D8"/>
    <w:rsid w:val="00FF3415"/>
    <w:rsid w:val="00FF3CF1"/>
    <w:rsid w:val="00FF42E1"/>
    <w:rsid w:val="00FF461E"/>
    <w:rsid w:val="00FF49AA"/>
    <w:rsid w:val="00FF4B33"/>
    <w:rsid w:val="00FF4C32"/>
    <w:rsid w:val="00FF5505"/>
    <w:rsid w:val="00FF5785"/>
    <w:rsid w:val="00FF5BAF"/>
    <w:rsid w:val="00FF6771"/>
    <w:rsid w:val="00FF69AC"/>
    <w:rsid w:val="00FF783B"/>
    <w:rsid w:val="00FF7843"/>
    <w:rsid w:val="00FF7EB5"/>
    <w:rsid w:val="00FF7ECE"/>
    <w:rsid w:val="00FF7F9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B3BD1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bg-BG"/>
    </w:rPr>
  </w:style>
  <w:style w:type="paragraph" w:styleId="Heading2">
    <w:name w:val="heading 2"/>
    <w:basedOn w:val="Normal"/>
    <w:next w:val="Normal"/>
    <w:link w:val="Heading2Char"/>
    <w:qFormat/>
    <w:rsid w:val="001F2D99"/>
    <w:pPr>
      <w:keepNext/>
      <w:tabs>
        <w:tab w:val="left" w:pos="0"/>
      </w:tabs>
      <w:ind w:right="114" w:firstLine="180"/>
      <w:jc w:val="both"/>
      <w:outlineLvl w:val="1"/>
    </w:pPr>
    <w:rPr>
      <w:rFonts w:ascii="Arial Narrow" w:eastAsia="Times New Roman" w:hAnsi="Arial Narrow" w:cs="Arial"/>
      <w:b/>
      <w:bCs/>
      <w:i/>
      <w:iCs/>
    </w:rPr>
  </w:style>
  <w:style w:type="paragraph" w:styleId="Heading4">
    <w:name w:val="heading 4"/>
    <w:basedOn w:val="Normal"/>
    <w:next w:val="Normal"/>
    <w:link w:val="Heading4Char"/>
    <w:qFormat/>
    <w:rsid w:val="00724729"/>
    <w:pPr>
      <w:keepNext/>
      <w:jc w:val="center"/>
      <w:outlineLvl w:val="3"/>
    </w:pPr>
    <w:rPr>
      <w:rFonts w:ascii="Arial Narrow" w:eastAsia="Times New Roman" w:hAnsi="Arial Narrow"/>
      <w:b/>
      <w:bCs/>
      <w:sz w:val="20"/>
      <w:szCs w:val="24"/>
    </w:rPr>
  </w:style>
  <w:style w:type="paragraph" w:styleId="Heading7">
    <w:name w:val="heading 7"/>
    <w:basedOn w:val="Normal"/>
    <w:next w:val="Normal"/>
    <w:link w:val="Heading7Char"/>
    <w:uiPriority w:val="9"/>
    <w:unhideWhenUsed/>
    <w:qFormat/>
    <w:rsid w:val="00F555DD"/>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04C31"/>
    <w:rPr>
      <w:rFonts w:eastAsia="MS Mincho" w:cs="Arial"/>
      <w:sz w:val="22"/>
      <w:szCs w:val="22"/>
      <w:lang w:eastAsia="ja-JP"/>
    </w:rPr>
  </w:style>
  <w:style w:type="character" w:customStyle="1" w:styleId="NoSpacingChar">
    <w:name w:val="No Spacing Char"/>
    <w:link w:val="NoSpacing"/>
    <w:uiPriority w:val="1"/>
    <w:rsid w:val="00104C31"/>
    <w:rPr>
      <w:rFonts w:eastAsia="MS Mincho" w:cs="Arial"/>
      <w:sz w:val="22"/>
      <w:szCs w:val="22"/>
      <w:lang w:val="en-US" w:eastAsia="ja-JP"/>
    </w:rPr>
  </w:style>
  <w:style w:type="paragraph" w:styleId="BalloonText">
    <w:name w:val="Balloon Text"/>
    <w:basedOn w:val="Normal"/>
    <w:link w:val="BalloonTextChar"/>
    <w:uiPriority w:val="99"/>
    <w:semiHidden/>
    <w:unhideWhenUsed/>
    <w:rsid w:val="00104C31"/>
    <w:rPr>
      <w:rFonts w:ascii="Tahoma" w:hAnsi="Tahoma" w:cs="Tahoma"/>
      <w:sz w:val="16"/>
      <w:szCs w:val="16"/>
    </w:rPr>
  </w:style>
  <w:style w:type="character" w:customStyle="1" w:styleId="BalloonTextChar">
    <w:name w:val="Balloon Text Char"/>
    <w:link w:val="BalloonText"/>
    <w:uiPriority w:val="99"/>
    <w:semiHidden/>
    <w:rsid w:val="00104C31"/>
    <w:rPr>
      <w:rFonts w:ascii="Tahoma" w:hAnsi="Tahoma" w:cs="Tahoma"/>
      <w:sz w:val="16"/>
      <w:szCs w:val="16"/>
      <w:lang w:eastAsia="en-US"/>
    </w:rPr>
  </w:style>
  <w:style w:type="paragraph" w:styleId="Header">
    <w:name w:val="header"/>
    <w:basedOn w:val="Normal"/>
    <w:link w:val="HeaderChar"/>
    <w:unhideWhenUsed/>
    <w:rsid w:val="00104C31"/>
    <w:pPr>
      <w:tabs>
        <w:tab w:val="center" w:pos="4536"/>
        <w:tab w:val="right" w:pos="9072"/>
      </w:tabs>
    </w:pPr>
  </w:style>
  <w:style w:type="character" w:customStyle="1" w:styleId="HeaderChar">
    <w:name w:val="Header Char"/>
    <w:link w:val="Header"/>
    <w:uiPriority w:val="99"/>
    <w:rsid w:val="00104C31"/>
    <w:rPr>
      <w:sz w:val="22"/>
      <w:szCs w:val="22"/>
      <w:lang w:eastAsia="en-US"/>
    </w:rPr>
  </w:style>
  <w:style w:type="paragraph" w:styleId="Footer">
    <w:name w:val="footer"/>
    <w:basedOn w:val="Normal"/>
    <w:link w:val="FooterChar"/>
    <w:uiPriority w:val="99"/>
    <w:unhideWhenUsed/>
    <w:rsid w:val="00104C31"/>
    <w:pPr>
      <w:tabs>
        <w:tab w:val="center" w:pos="4536"/>
        <w:tab w:val="right" w:pos="9072"/>
      </w:tabs>
    </w:pPr>
  </w:style>
  <w:style w:type="character" w:customStyle="1" w:styleId="FooterChar">
    <w:name w:val="Footer Char"/>
    <w:link w:val="Footer"/>
    <w:uiPriority w:val="99"/>
    <w:rsid w:val="00104C31"/>
    <w:rPr>
      <w:sz w:val="22"/>
      <w:szCs w:val="22"/>
      <w:lang w:eastAsia="en-US"/>
    </w:rPr>
  </w:style>
  <w:style w:type="paragraph" w:customStyle="1" w:styleId="Default">
    <w:name w:val="Default"/>
    <w:rsid w:val="00E526B5"/>
    <w:pPr>
      <w:autoSpaceDE w:val="0"/>
      <w:autoSpaceDN w:val="0"/>
      <w:adjustRightInd w:val="0"/>
    </w:pPr>
    <w:rPr>
      <w:rFonts w:ascii="Verdana" w:hAnsi="Verdana" w:cs="Verdana"/>
      <w:color w:val="000000"/>
      <w:sz w:val="24"/>
      <w:szCs w:val="24"/>
      <w:lang w:val="bg-BG" w:eastAsia="bg-BG"/>
    </w:rPr>
  </w:style>
  <w:style w:type="paragraph" w:styleId="NormalWeb">
    <w:name w:val="Normal (Web)"/>
    <w:basedOn w:val="Normal"/>
    <w:uiPriority w:val="99"/>
    <w:rsid w:val="002C420D"/>
    <w:pPr>
      <w:spacing w:before="100" w:beforeAutospacing="1" w:after="100" w:afterAutospacing="1"/>
      <w:jc w:val="both"/>
    </w:pPr>
    <w:rPr>
      <w:rFonts w:ascii="Arial" w:eastAsia="Times New Roman" w:hAnsi="Arial" w:cs="Arial"/>
      <w:color w:val="404040"/>
      <w:sz w:val="17"/>
      <w:szCs w:val="17"/>
      <w:lang w:eastAsia="bg-BG"/>
    </w:rPr>
  </w:style>
  <w:style w:type="paragraph" w:customStyle="1" w:styleId="a">
    <w:name w:val="Знак"/>
    <w:basedOn w:val="Normal"/>
    <w:rsid w:val="00EE33AC"/>
    <w:pPr>
      <w:spacing w:before="120" w:after="160" w:line="240" w:lineRule="exact"/>
    </w:pPr>
    <w:rPr>
      <w:rFonts w:ascii="Tahoma" w:eastAsia="Times New Roman" w:hAnsi="Tahoma"/>
      <w:sz w:val="20"/>
      <w:szCs w:val="20"/>
      <w:lang w:val="en-US"/>
    </w:rPr>
  </w:style>
  <w:style w:type="paragraph" w:styleId="FootnoteText">
    <w:name w:val="footnote text"/>
    <w:basedOn w:val="Normal"/>
    <w:link w:val="FootnoteTextChar"/>
    <w:uiPriority w:val="99"/>
    <w:semiHidden/>
    <w:unhideWhenUsed/>
    <w:rsid w:val="002705BA"/>
    <w:rPr>
      <w:sz w:val="20"/>
      <w:szCs w:val="20"/>
    </w:rPr>
  </w:style>
  <w:style w:type="character" w:customStyle="1" w:styleId="FootnoteTextChar">
    <w:name w:val="Footnote Text Char"/>
    <w:link w:val="FootnoteText"/>
    <w:uiPriority w:val="99"/>
    <w:semiHidden/>
    <w:rsid w:val="002705BA"/>
    <w:rPr>
      <w:lang w:eastAsia="en-US"/>
    </w:rPr>
  </w:style>
  <w:style w:type="character" w:styleId="FootnoteReference">
    <w:name w:val="footnote reference"/>
    <w:uiPriority w:val="99"/>
    <w:semiHidden/>
    <w:unhideWhenUsed/>
    <w:rsid w:val="002705BA"/>
    <w:rPr>
      <w:vertAlign w:val="superscript"/>
    </w:rPr>
  </w:style>
  <w:style w:type="paragraph" w:customStyle="1" w:styleId="m">
    <w:name w:val="m"/>
    <w:basedOn w:val="Normal"/>
    <w:rsid w:val="00754D0C"/>
    <w:pPr>
      <w:ind w:firstLine="990"/>
      <w:jc w:val="both"/>
    </w:pPr>
    <w:rPr>
      <w:rFonts w:ascii="Times New Roman" w:eastAsia="Times New Roman" w:hAnsi="Times New Roman"/>
      <w:color w:val="000000"/>
      <w:sz w:val="24"/>
      <w:szCs w:val="24"/>
      <w:lang w:eastAsia="bg-BG"/>
    </w:rPr>
  </w:style>
  <w:style w:type="character" w:styleId="Hyperlink">
    <w:name w:val="Hyperlink"/>
    <w:uiPriority w:val="99"/>
    <w:unhideWhenUsed/>
    <w:rsid w:val="00754D0C"/>
    <w:rPr>
      <w:strike w:val="0"/>
      <w:dstrike w:val="0"/>
      <w:color w:val="000000"/>
      <w:u w:val="none"/>
      <w:effect w:val="none"/>
    </w:rPr>
  </w:style>
  <w:style w:type="table" w:styleId="TableGrid">
    <w:name w:val="Table Grid"/>
    <w:basedOn w:val="TableNormal"/>
    <w:uiPriority w:val="59"/>
    <w:rsid w:val="00167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16700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335F8D"/>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customStyle="1" w:styleId="Heading2Char">
    <w:name w:val="Heading 2 Char"/>
    <w:link w:val="Heading2"/>
    <w:rsid w:val="001F2D99"/>
    <w:rPr>
      <w:rFonts w:ascii="Arial Narrow" w:eastAsia="Times New Roman" w:hAnsi="Arial Narrow" w:cs="Arial"/>
      <w:b/>
      <w:bCs/>
      <w:i/>
      <w:iCs/>
      <w:sz w:val="22"/>
      <w:szCs w:val="22"/>
      <w:lang w:eastAsia="en-US"/>
    </w:rPr>
  </w:style>
  <w:style w:type="paragraph" w:styleId="BodyText">
    <w:name w:val="Body Text"/>
    <w:basedOn w:val="Normal"/>
    <w:link w:val="BodyTextChar"/>
    <w:rsid w:val="001F2D99"/>
    <w:pPr>
      <w:jc w:val="center"/>
    </w:pPr>
    <w:rPr>
      <w:rFonts w:ascii="Arial Narrow" w:eastAsia="Times New Roman" w:hAnsi="Arial Narrow"/>
      <w:sz w:val="18"/>
      <w:szCs w:val="24"/>
    </w:rPr>
  </w:style>
  <w:style w:type="character" w:customStyle="1" w:styleId="BodyTextChar">
    <w:name w:val="Body Text Char"/>
    <w:link w:val="BodyText"/>
    <w:rsid w:val="001F2D99"/>
    <w:rPr>
      <w:rFonts w:ascii="Arial Narrow" w:eastAsia="Times New Roman" w:hAnsi="Arial Narrow"/>
      <w:sz w:val="18"/>
      <w:szCs w:val="24"/>
      <w:lang w:eastAsia="en-US"/>
    </w:rPr>
  </w:style>
  <w:style w:type="paragraph" w:styleId="Title">
    <w:name w:val="Title"/>
    <w:basedOn w:val="Normal"/>
    <w:link w:val="TitleChar"/>
    <w:qFormat/>
    <w:rsid w:val="001F2D99"/>
    <w:pPr>
      <w:autoSpaceDE w:val="0"/>
      <w:autoSpaceDN w:val="0"/>
      <w:adjustRightInd w:val="0"/>
      <w:jc w:val="center"/>
    </w:pPr>
    <w:rPr>
      <w:rFonts w:ascii="Arial" w:eastAsia="Times New Roman" w:hAnsi="Arial" w:cs="Arial"/>
      <w:b/>
      <w:bCs/>
      <w:sz w:val="20"/>
      <w:szCs w:val="24"/>
      <w:lang w:val="en-US"/>
    </w:rPr>
  </w:style>
  <w:style w:type="character" w:customStyle="1" w:styleId="TitleChar">
    <w:name w:val="Title Char"/>
    <w:link w:val="Title"/>
    <w:rsid w:val="001F2D99"/>
    <w:rPr>
      <w:rFonts w:ascii="Arial" w:eastAsia="Times New Roman" w:hAnsi="Arial" w:cs="Arial"/>
      <w:b/>
      <w:bCs/>
      <w:szCs w:val="24"/>
      <w:lang w:val="en-US" w:eastAsia="en-US"/>
    </w:rPr>
  </w:style>
  <w:style w:type="paragraph" w:styleId="BodyText2">
    <w:name w:val="Body Text 2"/>
    <w:basedOn w:val="Normal"/>
    <w:link w:val="BodyText2Char"/>
    <w:rsid w:val="001F2D99"/>
    <w:pPr>
      <w:tabs>
        <w:tab w:val="left" w:pos="540"/>
      </w:tabs>
      <w:jc w:val="both"/>
    </w:pPr>
    <w:rPr>
      <w:rFonts w:ascii="Arial Narrow" w:eastAsia="Times New Roman" w:hAnsi="Arial Narrow"/>
      <w:lang w:val="en-GB"/>
    </w:rPr>
  </w:style>
  <w:style w:type="character" w:customStyle="1" w:styleId="BodyText2Char">
    <w:name w:val="Body Text 2 Char"/>
    <w:link w:val="BodyText2"/>
    <w:rsid w:val="001F2D99"/>
    <w:rPr>
      <w:rFonts w:ascii="Arial Narrow" w:eastAsia="Times New Roman" w:hAnsi="Arial Narrow"/>
      <w:sz w:val="22"/>
      <w:szCs w:val="22"/>
      <w:lang w:val="en-GB" w:eastAsia="en-US"/>
    </w:rPr>
  </w:style>
  <w:style w:type="table" w:styleId="MediumGrid3-Accent3">
    <w:name w:val="Medium Grid 3 Accent 3"/>
    <w:basedOn w:val="TableNormal"/>
    <w:uiPriority w:val="69"/>
    <w:rsid w:val="00861ED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styleId="BodyTextIndent">
    <w:name w:val="Body Text Indent"/>
    <w:basedOn w:val="Normal"/>
    <w:link w:val="BodyTextIndentChar"/>
    <w:uiPriority w:val="99"/>
    <w:unhideWhenUsed/>
    <w:rsid w:val="001B0DDE"/>
    <w:pPr>
      <w:spacing w:after="120"/>
      <w:ind w:left="283"/>
    </w:pPr>
  </w:style>
  <w:style w:type="character" w:customStyle="1" w:styleId="BodyTextIndentChar">
    <w:name w:val="Body Text Indent Char"/>
    <w:link w:val="BodyTextIndent"/>
    <w:uiPriority w:val="99"/>
    <w:rsid w:val="001B0DDE"/>
    <w:rPr>
      <w:sz w:val="22"/>
      <w:szCs w:val="22"/>
      <w:lang w:eastAsia="en-US"/>
    </w:rPr>
  </w:style>
  <w:style w:type="character" w:customStyle="1" w:styleId="Heading4Char">
    <w:name w:val="Heading 4 Char"/>
    <w:link w:val="Heading4"/>
    <w:rsid w:val="00724729"/>
    <w:rPr>
      <w:rFonts w:ascii="Arial Narrow" w:eastAsia="Times New Roman" w:hAnsi="Arial Narrow"/>
      <w:b/>
      <w:bCs/>
      <w:szCs w:val="24"/>
      <w:lang w:eastAsia="en-US"/>
    </w:rPr>
  </w:style>
  <w:style w:type="character" w:customStyle="1" w:styleId="Heading7Char">
    <w:name w:val="Heading 7 Char"/>
    <w:link w:val="Heading7"/>
    <w:uiPriority w:val="9"/>
    <w:rsid w:val="00F555DD"/>
    <w:rPr>
      <w:rFonts w:ascii="Calibri" w:eastAsia="Times New Roman" w:hAnsi="Calibri" w:cs="Times New Roman"/>
      <w:sz w:val="24"/>
      <w:szCs w:val="24"/>
      <w:lang w:eastAsia="en-US"/>
    </w:rPr>
  </w:style>
  <w:style w:type="character" w:styleId="Strong">
    <w:name w:val="Strong"/>
    <w:uiPriority w:val="22"/>
    <w:qFormat/>
    <w:rsid w:val="00213ABA"/>
    <w:rPr>
      <w:b/>
      <w:bCs/>
    </w:rPr>
  </w:style>
  <w:style w:type="paragraph" w:customStyle="1" w:styleId="-">
    <w:name w:val="Таблица - съдържание"/>
    <w:basedOn w:val="Normal"/>
    <w:rsid w:val="0084095A"/>
    <w:pPr>
      <w:suppressLineNumbers/>
      <w:suppressAutoHyphens/>
    </w:pPr>
    <w:rPr>
      <w:rFonts w:ascii="Times New Roman" w:eastAsia="Times New Roman" w:hAnsi="Times New Roman"/>
      <w:sz w:val="24"/>
      <w:szCs w:val="24"/>
      <w:lang w:val="en-GB" w:eastAsia="ar-SA"/>
    </w:rPr>
  </w:style>
  <w:style w:type="table" w:styleId="MediumGrid3-Accent6">
    <w:name w:val="Medium Grid 3 Accent 6"/>
    <w:basedOn w:val="TableNormal"/>
    <w:uiPriority w:val="69"/>
    <w:rsid w:val="00616BF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CharCharChar">
    <w:name w:val="Char Char Char"/>
    <w:basedOn w:val="Normal"/>
    <w:rsid w:val="008C37E7"/>
    <w:pPr>
      <w:tabs>
        <w:tab w:val="left" w:pos="709"/>
      </w:tabs>
    </w:pPr>
    <w:rPr>
      <w:rFonts w:ascii="Tahoma" w:eastAsia="Times New Roman" w:hAnsi="Tahoma"/>
      <w:sz w:val="24"/>
      <w:szCs w:val="24"/>
      <w:lang w:val="pl-PL"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2"/>
      <w:szCs w:val="22"/>
      <w:lang w:val="bg-BG"/>
    </w:rPr>
  </w:style>
  <w:style w:type="paragraph" w:styleId="Heading2">
    <w:name w:val="heading 2"/>
    <w:basedOn w:val="Normal"/>
    <w:next w:val="Normal"/>
    <w:link w:val="Heading2Char"/>
    <w:qFormat/>
    <w:rsid w:val="001F2D99"/>
    <w:pPr>
      <w:keepNext/>
      <w:tabs>
        <w:tab w:val="left" w:pos="0"/>
      </w:tabs>
      <w:ind w:right="114" w:firstLine="180"/>
      <w:jc w:val="both"/>
      <w:outlineLvl w:val="1"/>
    </w:pPr>
    <w:rPr>
      <w:rFonts w:ascii="Arial Narrow" w:eastAsia="Times New Roman" w:hAnsi="Arial Narrow" w:cs="Arial"/>
      <w:b/>
      <w:bCs/>
      <w:i/>
      <w:iCs/>
    </w:rPr>
  </w:style>
  <w:style w:type="paragraph" w:styleId="Heading4">
    <w:name w:val="heading 4"/>
    <w:basedOn w:val="Normal"/>
    <w:next w:val="Normal"/>
    <w:link w:val="Heading4Char"/>
    <w:qFormat/>
    <w:rsid w:val="00724729"/>
    <w:pPr>
      <w:keepNext/>
      <w:jc w:val="center"/>
      <w:outlineLvl w:val="3"/>
    </w:pPr>
    <w:rPr>
      <w:rFonts w:ascii="Arial Narrow" w:eastAsia="Times New Roman" w:hAnsi="Arial Narrow"/>
      <w:b/>
      <w:bCs/>
      <w:sz w:val="20"/>
      <w:szCs w:val="24"/>
    </w:rPr>
  </w:style>
  <w:style w:type="paragraph" w:styleId="Heading7">
    <w:name w:val="heading 7"/>
    <w:basedOn w:val="Normal"/>
    <w:next w:val="Normal"/>
    <w:link w:val="Heading7Char"/>
    <w:uiPriority w:val="9"/>
    <w:unhideWhenUsed/>
    <w:qFormat/>
    <w:rsid w:val="00F555DD"/>
    <w:pPr>
      <w:spacing w:before="240" w:after="60"/>
      <w:outlineLvl w:val="6"/>
    </w:pPr>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104C31"/>
    <w:rPr>
      <w:rFonts w:eastAsia="MS Mincho" w:cs="Arial"/>
      <w:sz w:val="22"/>
      <w:szCs w:val="22"/>
      <w:lang w:eastAsia="ja-JP"/>
    </w:rPr>
  </w:style>
  <w:style w:type="character" w:customStyle="1" w:styleId="NoSpacingChar">
    <w:name w:val="No Spacing Char"/>
    <w:link w:val="NoSpacing"/>
    <w:uiPriority w:val="1"/>
    <w:rsid w:val="00104C31"/>
    <w:rPr>
      <w:rFonts w:eastAsia="MS Mincho" w:cs="Arial"/>
      <w:sz w:val="22"/>
      <w:szCs w:val="22"/>
      <w:lang w:val="en-US" w:eastAsia="ja-JP"/>
    </w:rPr>
  </w:style>
  <w:style w:type="paragraph" w:styleId="BalloonText">
    <w:name w:val="Balloon Text"/>
    <w:basedOn w:val="Normal"/>
    <w:link w:val="BalloonTextChar"/>
    <w:uiPriority w:val="99"/>
    <w:semiHidden/>
    <w:unhideWhenUsed/>
    <w:rsid w:val="00104C31"/>
    <w:rPr>
      <w:rFonts w:ascii="Tahoma" w:hAnsi="Tahoma" w:cs="Tahoma"/>
      <w:sz w:val="16"/>
      <w:szCs w:val="16"/>
    </w:rPr>
  </w:style>
  <w:style w:type="character" w:customStyle="1" w:styleId="BalloonTextChar">
    <w:name w:val="Balloon Text Char"/>
    <w:link w:val="BalloonText"/>
    <w:uiPriority w:val="99"/>
    <w:semiHidden/>
    <w:rsid w:val="00104C31"/>
    <w:rPr>
      <w:rFonts w:ascii="Tahoma" w:hAnsi="Tahoma" w:cs="Tahoma"/>
      <w:sz w:val="16"/>
      <w:szCs w:val="16"/>
      <w:lang w:eastAsia="en-US"/>
    </w:rPr>
  </w:style>
  <w:style w:type="paragraph" w:styleId="Header">
    <w:name w:val="header"/>
    <w:basedOn w:val="Normal"/>
    <w:link w:val="HeaderChar"/>
    <w:unhideWhenUsed/>
    <w:rsid w:val="00104C31"/>
    <w:pPr>
      <w:tabs>
        <w:tab w:val="center" w:pos="4536"/>
        <w:tab w:val="right" w:pos="9072"/>
      </w:tabs>
    </w:pPr>
  </w:style>
  <w:style w:type="character" w:customStyle="1" w:styleId="HeaderChar">
    <w:name w:val="Header Char"/>
    <w:link w:val="Header"/>
    <w:uiPriority w:val="99"/>
    <w:rsid w:val="00104C31"/>
    <w:rPr>
      <w:sz w:val="22"/>
      <w:szCs w:val="22"/>
      <w:lang w:eastAsia="en-US"/>
    </w:rPr>
  </w:style>
  <w:style w:type="paragraph" w:styleId="Footer">
    <w:name w:val="footer"/>
    <w:basedOn w:val="Normal"/>
    <w:link w:val="FooterChar"/>
    <w:uiPriority w:val="99"/>
    <w:unhideWhenUsed/>
    <w:rsid w:val="00104C31"/>
    <w:pPr>
      <w:tabs>
        <w:tab w:val="center" w:pos="4536"/>
        <w:tab w:val="right" w:pos="9072"/>
      </w:tabs>
    </w:pPr>
  </w:style>
  <w:style w:type="character" w:customStyle="1" w:styleId="FooterChar">
    <w:name w:val="Footer Char"/>
    <w:link w:val="Footer"/>
    <w:uiPriority w:val="99"/>
    <w:rsid w:val="00104C31"/>
    <w:rPr>
      <w:sz w:val="22"/>
      <w:szCs w:val="22"/>
      <w:lang w:eastAsia="en-US"/>
    </w:rPr>
  </w:style>
  <w:style w:type="paragraph" w:customStyle="1" w:styleId="Default">
    <w:name w:val="Default"/>
    <w:rsid w:val="00E526B5"/>
    <w:pPr>
      <w:autoSpaceDE w:val="0"/>
      <w:autoSpaceDN w:val="0"/>
      <w:adjustRightInd w:val="0"/>
    </w:pPr>
    <w:rPr>
      <w:rFonts w:ascii="Verdana" w:hAnsi="Verdana" w:cs="Verdana"/>
      <w:color w:val="000000"/>
      <w:sz w:val="24"/>
      <w:szCs w:val="24"/>
      <w:lang w:val="bg-BG" w:eastAsia="bg-BG"/>
    </w:rPr>
  </w:style>
  <w:style w:type="paragraph" w:styleId="NormalWeb">
    <w:name w:val="Normal (Web)"/>
    <w:basedOn w:val="Normal"/>
    <w:uiPriority w:val="99"/>
    <w:rsid w:val="002C420D"/>
    <w:pPr>
      <w:spacing w:before="100" w:beforeAutospacing="1" w:after="100" w:afterAutospacing="1"/>
      <w:jc w:val="both"/>
    </w:pPr>
    <w:rPr>
      <w:rFonts w:ascii="Arial" w:eastAsia="Times New Roman" w:hAnsi="Arial" w:cs="Arial"/>
      <w:color w:val="404040"/>
      <w:sz w:val="17"/>
      <w:szCs w:val="17"/>
      <w:lang w:eastAsia="bg-BG"/>
    </w:rPr>
  </w:style>
  <w:style w:type="paragraph" w:customStyle="1" w:styleId="a">
    <w:name w:val="Знак"/>
    <w:basedOn w:val="Normal"/>
    <w:rsid w:val="00EE33AC"/>
    <w:pPr>
      <w:spacing w:before="120" w:after="160" w:line="240" w:lineRule="exact"/>
    </w:pPr>
    <w:rPr>
      <w:rFonts w:ascii="Tahoma" w:eastAsia="Times New Roman" w:hAnsi="Tahoma"/>
      <w:sz w:val="20"/>
      <w:szCs w:val="20"/>
      <w:lang w:val="en-US"/>
    </w:rPr>
  </w:style>
  <w:style w:type="paragraph" w:styleId="FootnoteText">
    <w:name w:val="footnote text"/>
    <w:basedOn w:val="Normal"/>
    <w:link w:val="FootnoteTextChar"/>
    <w:uiPriority w:val="99"/>
    <w:semiHidden/>
    <w:unhideWhenUsed/>
    <w:rsid w:val="002705BA"/>
    <w:rPr>
      <w:sz w:val="20"/>
      <w:szCs w:val="20"/>
    </w:rPr>
  </w:style>
  <w:style w:type="character" w:customStyle="1" w:styleId="FootnoteTextChar">
    <w:name w:val="Footnote Text Char"/>
    <w:link w:val="FootnoteText"/>
    <w:uiPriority w:val="99"/>
    <w:semiHidden/>
    <w:rsid w:val="002705BA"/>
    <w:rPr>
      <w:lang w:eastAsia="en-US"/>
    </w:rPr>
  </w:style>
  <w:style w:type="character" w:styleId="FootnoteReference">
    <w:name w:val="footnote reference"/>
    <w:uiPriority w:val="99"/>
    <w:semiHidden/>
    <w:unhideWhenUsed/>
    <w:rsid w:val="002705BA"/>
    <w:rPr>
      <w:vertAlign w:val="superscript"/>
    </w:rPr>
  </w:style>
  <w:style w:type="paragraph" w:customStyle="1" w:styleId="m">
    <w:name w:val="m"/>
    <w:basedOn w:val="Normal"/>
    <w:rsid w:val="00754D0C"/>
    <w:pPr>
      <w:ind w:firstLine="990"/>
      <w:jc w:val="both"/>
    </w:pPr>
    <w:rPr>
      <w:rFonts w:ascii="Times New Roman" w:eastAsia="Times New Roman" w:hAnsi="Times New Roman"/>
      <w:color w:val="000000"/>
      <w:sz w:val="24"/>
      <w:szCs w:val="24"/>
      <w:lang w:eastAsia="bg-BG"/>
    </w:rPr>
  </w:style>
  <w:style w:type="character" w:styleId="Hyperlink">
    <w:name w:val="Hyperlink"/>
    <w:uiPriority w:val="99"/>
    <w:unhideWhenUsed/>
    <w:rsid w:val="00754D0C"/>
    <w:rPr>
      <w:strike w:val="0"/>
      <w:dstrike w:val="0"/>
      <w:color w:val="000000"/>
      <w:u w:val="none"/>
      <w:effect w:val="none"/>
    </w:rPr>
  </w:style>
  <w:style w:type="table" w:styleId="TableGrid">
    <w:name w:val="Table Grid"/>
    <w:basedOn w:val="TableNormal"/>
    <w:uiPriority w:val="59"/>
    <w:rsid w:val="0016700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Accent3">
    <w:name w:val="Light Shading Accent 3"/>
    <w:basedOn w:val="TableNormal"/>
    <w:uiPriority w:val="60"/>
    <w:rsid w:val="00167003"/>
    <w:rPr>
      <w:color w:val="76923C"/>
    </w:rPr>
    <w:tblPr>
      <w:tblStyleRowBandSize w:val="1"/>
      <w:tblStyleColBandSize w:val="1"/>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MediumGrid1-Accent3">
    <w:name w:val="Medium Grid 1 Accent 3"/>
    <w:basedOn w:val="TableNormal"/>
    <w:uiPriority w:val="67"/>
    <w:rsid w:val="00335F8D"/>
    <w:tblPr>
      <w:tblStyleRowBandSize w:val="1"/>
      <w:tblStyleColBandSize w:val="1"/>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character" w:customStyle="1" w:styleId="Heading2Char">
    <w:name w:val="Heading 2 Char"/>
    <w:link w:val="Heading2"/>
    <w:rsid w:val="001F2D99"/>
    <w:rPr>
      <w:rFonts w:ascii="Arial Narrow" w:eastAsia="Times New Roman" w:hAnsi="Arial Narrow" w:cs="Arial"/>
      <w:b/>
      <w:bCs/>
      <w:i/>
      <w:iCs/>
      <w:sz w:val="22"/>
      <w:szCs w:val="22"/>
      <w:lang w:eastAsia="en-US"/>
    </w:rPr>
  </w:style>
  <w:style w:type="paragraph" w:styleId="BodyText">
    <w:name w:val="Body Text"/>
    <w:basedOn w:val="Normal"/>
    <w:link w:val="BodyTextChar"/>
    <w:rsid w:val="001F2D99"/>
    <w:pPr>
      <w:jc w:val="center"/>
    </w:pPr>
    <w:rPr>
      <w:rFonts w:ascii="Arial Narrow" w:eastAsia="Times New Roman" w:hAnsi="Arial Narrow"/>
      <w:sz w:val="18"/>
      <w:szCs w:val="24"/>
    </w:rPr>
  </w:style>
  <w:style w:type="character" w:customStyle="1" w:styleId="BodyTextChar">
    <w:name w:val="Body Text Char"/>
    <w:link w:val="BodyText"/>
    <w:rsid w:val="001F2D99"/>
    <w:rPr>
      <w:rFonts w:ascii="Arial Narrow" w:eastAsia="Times New Roman" w:hAnsi="Arial Narrow"/>
      <w:sz w:val="18"/>
      <w:szCs w:val="24"/>
      <w:lang w:eastAsia="en-US"/>
    </w:rPr>
  </w:style>
  <w:style w:type="paragraph" w:styleId="Title">
    <w:name w:val="Title"/>
    <w:basedOn w:val="Normal"/>
    <w:link w:val="TitleChar"/>
    <w:qFormat/>
    <w:rsid w:val="001F2D99"/>
    <w:pPr>
      <w:autoSpaceDE w:val="0"/>
      <w:autoSpaceDN w:val="0"/>
      <w:adjustRightInd w:val="0"/>
      <w:jc w:val="center"/>
    </w:pPr>
    <w:rPr>
      <w:rFonts w:ascii="Arial" w:eastAsia="Times New Roman" w:hAnsi="Arial" w:cs="Arial"/>
      <w:b/>
      <w:bCs/>
      <w:sz w:val="20"/>
      <w:szCs w:val="24"/>
      <w:lang w:val="en-US"/>
    </w:rPr>
  </w:style>
  <w:style w:type="character" w:customStyle="1" w:styleId="TitleChar">
    <w:name w:val="Title Char"/>
    <w:link w:val="Title"/>
    <w:rsid w:val="001F2D99"/>
    <w:rPr>
      <w:rFonts w:ascii="Arial" w:eastAsia="Times New Roman" w:hAnsi="Arial" w:cs="Arial"/>
      <w:b/>
      <w:bCs/>
      <w:szCs w:val="24"/>
      <w:lang w:val="en-US" w:eastAsia="en-US"/>
    </w:rPr>
  </w:style>
  <w:style w:type="paragraph" w:styleId="BodyText2">
    <w:name w:val="Body Text 2"/>
    <w:basedOn w:val="Normal"/>
    <w:link w:val="BodyText2Char"/>
    <w:rsid w:val="001F2D99"/>
    <w:pPr>
      <w:tabs>
        <w:tab w:val="left" w:pos="540"/>
      </w:tabs>
      <w:jc w:val="both"/>
    </w:pPr>
    <w:rPr>
      <w:rFonts w:ascii="Arial Narrow" w:eastAsia="Times New Roman" w:hAnsi="Arial Narrow"/>
      <w:lang w:val="en-GB"/>
    </w:rPr>
  </w:style>
  <w:style w:type="character" w:customStyle="1" w:styleId="BodyText2Char">
    <w:name w:val="Body Text 2 Char"/>
    <w:link w:val="BodyText2"/>
    <w:rsid w:val="001F2D99"/>
    <w:rPr>
      <w:rFonts w:ascii="Arial Narrow" w:eastAsia="Times New Roman" w:hAnsi="Arial Narrow"/>
      <w:sz w:val="22"/>
      <w:szCs w:val="22"/>
      <w:lang w:val="en-GB" w:eastAsia="en-US"/>
    </w:rPr>
  </w:style>
  <w:style w:type="table" w:styleId="MediumGrid3-Accent3">
    <w:name w:val="Medium Grid 3 Accent 3"/>
    <w:basedOn w:val="TableNormal"/>
    <w:uiPriority w:val="69"/>
    <w:rsid w:val="00861EDA"/>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paragraph" w:styleId="BodyTextIndent">
    <w:name w:val="Body Text Indent"/>
    <w:basedOn w:val="Normal"/>
    <w:link w:val="BodyTextIndentChar"/>
    <w:uiPriority w:val="99"/>
    <w:unhideWhenUsed/>
    <w:rsid w:val="001B0DDE"/>
    <w:pPr>
      <w:spacing w:after="120"/>
      <w:ind w:left="283"/>
    </w:pPr>
  </w:style>
  <w:style w:type="character" w:customStyle="1" w:styleId="BodyTextIndentChar">
    <w:name w:val="Body Text Indent Char"/>
    <w:link w:val="BodyTextIndent"/>
    <w:uiPriority w:val="99"/>
    <w:rsid w:val="001B0DDE"/>
    <w:rPr>
      <w:sz w:val="22"/>
      <w:szCs w:val="22"/>
      <w:lang w:eastAsia="en-US"/>
    </w:rPr>
  </w:style>
  <w:style w:type="character" w:customStyle="1" w:styleId="Heading4Char">
    <w:name w:val="Heading 4 Char"/>
    <w:link w:val="Heading4"/>
    <w:rsid w:val="00724729"/>
    <w:rPr>
      <w:rFonts w:ascii="Arial Narrow" w:eastAsia="Times New Roman" w:hAnsi="Arial Narrow"/>
      <w:b/>
      <w:bCs/>
      <w:szCs w:val="24"/>
      <w:lang w:eastAsia="en-US"/>
    </w:rPr>
  </w:style>
  <w:style w:type="character" w:customStyle="1" w:styleId="Heading7Char">
    <w:name w:val="Heading 7 Char"/>
    <w:link w:val="Heading7"/>
    <w:uiPriority w:val="9"/>
    <w:rsid w:val="00F555DD"/>
    <w:rPr>
      <w:rFonts w:ascii="Calibri" w:eastAsia="Times New Roman" w:hAnsi="Calibri" w:cs="Times New Roman"/>
      <w:sz w:val="24"/>
      <w:szCs w:val="24"/>
      <w:lang w:eastAsia="en-US"/>
    </w:rPr>
  </w:style>
  <w:style w:type="character" w:styleId="Strong">
    <w:name w:val="Strong"/>
    <w:uiPriority w:val="22"/>
    <w:qFormat/>
    <w:rsid w:val="00213ABA"/>
    <w:rPr>
      <w:b/>
      <w:bCs/>
    </w:rPr>
  </w:style>
  <w:style w:type="paragraph" w:customStyle="1" w:styleId="-">
    <w:name w:val="Таблица - съдържание"/>
    <w:basedOn w:val="Normal"/>
    <w:rsid w:val="0084095A"/>
    <w:pPr>
      <w:suppressLineNumbers/>
      <w:suppressAutoHyphens/>
    </w:pPr>
    <w:rPr>
      <w:rFonts w:ascii="Times New Roman" w:eastAsia="Times New Roman" w:hAnsi="Times New Roman"/>
      <w:sz w:val="24"/>
      <w:szCs w:val="24"/>
      <w:lang w:val="en-GB" w:eastAsia="ar-SA"/>
    </w:rPr>
  </w:style>
  <w:style w:type="table" w:styleId="MediumGrid3-Accent6">
    <w:name w:val="Medium Grid 3 Accent 6"/>
    <w:basedOn w:val="TableNormal"/>
    <w:uiPriority w:val="69"/>
    <w:rsid w:val="00616BF1"/>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paragraph" w:customStyle="1" w:styleId="CharCharChar">
    <w:name w:val="Char Char Char"/>
    <w:basedOn w:val="Normal"/>
    <w:rsid w:val="008C37E7"/>
    <w:pPr>
      <w:tabs>
        <w:tab w:val="left" w:pos="709"/>
      </w:tabs>
    </w:pPr>
    <w:rPr>
      <w:rFonts w:ascii="Tahoma" w:eastAsia="Times New Roman" w:hAnsi="Tahoma"/>
      <w:sz w:val="24"/>
      <w:szCs w:val="24"/>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912336">
      <w:bodyDiv w:val="1"/>
      <w:marLeft w:val="0"/>
      <w:marRight w:val="0"/>
      <w:marTop w:val="0"/>
      <w:marBottom w:val="0"/>
      <w:divBdr>
        <w:top w:val="none" w:sz="0" w:space="0" w:color="auto"/>
        <w:left w:val="none" w:sz="0" w:space="0" w:color="auto"/>
        <w:bottom w:val="none" w:sz="0" w:space="0" w:color="auto"/>
        <w:right w:val="none" w:sz="0" w:space="0" w:color="auto"/>
      </w:divBdr>
    </w:div>
    <w:div w:id="12877050">
      <w:bodyDiv w:val="1"/>
      <w:marLeft w:val="0"/>
      <w:marRight w:val="0"/>
      <w:marTop w:val="0"/>
      <w:marBottom w:val="0"/>
      <w:divBdr>
        <w:top w:val="none" w:sz="0" w:space="0" w:color="auto"/>
        <w:left w:val="none" w:sz="0" w:space="0" w:color="auto"/>
        <w:bottom w:val="none" w:sz="0" w:space="0" w:color="auto"/>
        <w:right w:val="none" w:sz="0" w:space="0" w:color="auto"/>
      </w:divBdr>
    </w:div>
    <w:div w:id="21519857">
      <w:bodyDiv w:val="1"/>
      <w:marLeft w:val="0"/>
      <w:marRight w:val="0"/>
      <w:marTop w:val="0"/>
      <w:marBottom w:val="0"/>
      <w:divBdr>
        <w:top w:val="none" w:sz="0" w:space="0" w:color="auto"/>
        <w:left w:val="none" w:sz="0" w:space="0" w:color="auto"/>
        <w:bottom w:val="none" w:sz="0" w:space="0" w:color="auto"/>
        <w:right w:val="none" w:sz="0" w:space="0" w:color="auto"/>
      </w:divBdr>
    </w:div>
    <w:div w:id="24645786">
      <w:bodyDiv w:val="1"/>
      <w:marLeft w:val="0"/>
      <w:marRight w:val="0"/>
      <w:marTop w:val="0"/>
      <w:marBottom w:val="0"/>
      <w:divBdr>
        <w:top w:val="none" w:sz="0" w:space="0" w:color="auto"/>
        <w:left w:val="none" w:sz="0" w:space="0" w:color="auto"/>
        <w:bottom w:val="none" w:sz="0" w:space="0" w:color="auto"/>
        <w:right w:val="none" w:sz="0" w:space="0" w:color="auto"/>
      </w:divBdr>
    </w:div>
    <w:div w:id="26377269">
      <w:bodyDiv w:val="1"/>
      <w:marLeft w:val="0"/>
      <w:marRight w:val="0"/>
      <w:marTop w:val="0"/>
      <w:marBottom w:val="0"/>
      <w:divBdr>
        <w:top w:val="none" w:sz="0" w:space="0" w:color="auto"/>
        <w:left w:val="none" w:sz="0" w:space="0" w:color="auto"/>
        <w:bottom w:val="none" w:sz="0" w:space="0" w:color="auto"/>
        <w:right w:val="none" w:sz="0" w:space="0" w:color="auto"/>
      </w:divBdr>
    </w:div>
    <w:div w:id="43145721">
      <w:bodyDiv w:val="1"/>
      <w:marLeft w:val="0"/>
      <w:marRight w:val="0"/>
      <w:marTop w:val="0"/>
      <w:marBottom w:val="0"/>
      <w:divBdr>
        <w:top w:val="none" w:sz="0" w:space="0" w:color="auto"/>
        <w:left w:val="none" w:sz="0" w:space="0" w:color="auto"/>
        <w:bottom w:val="none" w:sz="0" w:space="0" w:color="auto"/>
        <w:right w:val="none" w:sz="0" w:space="0" w:color="auto"/>
      </w:divBdr>
    </w:div>
    <w:div w:id="48922047">
      <w:bodyDiv w:val="1"/>
      <w:marLeft w:val="0"/>
      <w:marRight w:val="0"/>
      <w:marTop w:val="0"/>
      <w:marBottom w:val="0"/>
      <w:divBdr>
        <w:top w:val="none" w:sz="0" w:space="0" w:color="auto"/>
        <w:left w:val="none" w:sz="0" w:space="0" w:color="auto"/>
        <w:bottom w:val="none" w:sz="0" w:space="0" w:color="auto"/>
        <w:right w:val="none" w:sz="0" w:space="0" w:color="auto"/>
      </w:divBdr>
    </w:div>
    <w:div w:id="70008443">
      <w:bodyDiv w:val="1"/>
      <w:marLeft w:val="0"/>
      <w:marRight w:val="0"/>
      <w:marTop w:val="0"/>
      <w:marBottom w:val="0"/>
      <w:divBdr>
        <w:top w:val="none" w:sz="0" w:space="0" w:color="auto"/>
        <w:left w:val="none" w:sz="0" w:space="0" w:color="auto"/>
        <w:bottom w:val="none" w:sz="0" w:space="0" w:color="auto"/>
        <w:right w:val="none" w:sz="0" w:space="0" w:color="auto"/>
      </w:divBdr>
    </w:div>
    <w:div w:id="83844142">
      <w:bodyDiv w:val="1"/>
      <w:marLeft w:val="0"/>
      <w:marRight w:val="0"/>
      <w:marTop w:val="0"/>
      <w:marBottom w:val="0"/>
      <w:divBdr>
        <w:top w:val="none" w:sz="0" w:space="0" w:color="auto"/>
        <w:left w:val="none" w:sz="0" w:space="0" w:color="auto"/>
        <w:bottom w:val="none" w:sz="0" w:space="0" w:color="auto"/>
        <w:right w:val="none" w:sz="0" w:space="0" w:color="auto"/>
      </w:divBdr>
    </w:div>
    <w:div w:id="88163418">
      <w:bodyDiv w:val="1"/>
      <w:marLeft w:val="0"/>
      <w:marRight w:val="0"/>
      <w:marTop w:val="0"/>
      <w:marBottom w:val="0"/>
      <w:divBdr>
        <w:top w:val="none" w:sz="0" w:space="0" w:color="auto"/>
        <w:left w:val="none" w:sz="0" w:space="0" w:color="auto"/>
        <w:bottom w:val="none" w:sz="0" w:space="0" w:color="auto"/>
        <w:right w:val="none" w:sz="0" w:space="0" w:color="auto"/>
      </w:divBdr>
      <w:divsChild>
        <w:div w:id="78731025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90054377">
      <w:bodyDiv w:val="1"/>
      <w:marLeft w:val="0"/>
      <w:marRight w:val="0"/>
      <w:marTop w:val="0"/>
      <w:marBottom w:val="0"/>
      <w:divBdr>
        <w:top w:val="none" w:sz="0" w:space="0" w:color="auto"/>
        <w:left w:val="none" w:sz="0" w:space="0" w:color="auto"/>
        <w:bottom w:val="none" w:sz="0" w:space="0" w:color="auto"/>
        <w:right w:val="none" w:sz="0" w:space="0" w:color="auto"/>
      </w:divBdr>
    </w:div>
    <w:div w:id="95752352">
      <w:bodyDiv w:val="1"/>
      <w:marLeft w:val="0"/>
      <w:marRight w:val="0"/>
      <w:marTop w:val="0"/>
      <w:marBottom w:val="0"/>
      <w:divBdr>
        <w:top w:val="none" w:sz="0" w:space="0" w:color="auto"/>
        <w:left w:val="none" w:sz="0" w:space="0" w:color="auto"/>
        <w:bottom w:val="none" w:sz="0" w:space="0" w:color="auto"/>
        <w:right w:val="none" w:sz="0" w:space="0" w:color="auto"/>
      </w:divBdr>
    </w:div>
    <w:div w:id="106118684">
      <w:bodyDiv w:val="1"/>
      <w:marLeft w:val="0"/>
      <w:marRight w:val="0"/>
      <w:marTop w:val="0"/>
      <w:marBottom w:val="0"/>
      <w:divBdr>
        <w:top w:val="none" w:sz="0" w:space="0" w:color="auto"/>
        <w:left w:val="none" w:sz="0" w:space="0" w:color="auto"/>
        <w:bottom w:val="none" w:sz="0" w:space="0" w:color="auto"/>
        <w:right w:val="none" w:sz="0" w:space="0" w:color="auto"/>
      </w:divBdr>
    </w:div>
    <w:div w:id="106168794">
      <w:bodyDiv w:val="1"/>
      <w:marLeft w:val="0"/>
      <w:marRight w:val="0"/>
      <w:marTop w:val="0"/>
      <w:marBottom w:val="0"/>
      <w:divBdr>
        <w:top w:val="none" w:sz="0" w:space="0" w:color="auto"/>
        <w:left w:val="none" w:sz="0" w:space="0" w:color="auto"/>
        <w:bottom w:val="none" w:sz="0" w:space="0" w:color="auto"/>
        <w:right w:val="none" w:sz="0" w:space="0" w:color="auto"/>
      </w:divBdr>
    </w:div>
    <w:div w:id="115947871">
      <w:bodyDiv w:val="1"/>
      <w:marLeft w:val="0"/>
      <w:marRight w:val="0"/>
      <w:marTop w:val="0"/>
      <w:marBottom w:val="0"/>
      <w:divBdr>
        <w:top w:val="none" w:sz="0" w:space="0" w:color="auto"/>
        <w:left w:val="none" w:sz="0" w:space="0" w:color="auto"/>
        <w:bottom w:val="none" w:sz="0" w:space="0" w:color="auto"/>
        <w:right w:val="none" w:sz="0" w:space="0" w:color="auto"/>
      </w:divBdr>
    </w:div>
    <w:div w:id="130943440">
      <w:bodyDiv w:val="1"/>
      <w:marLeft w:val="0"/>
      <w:marRight w:val="0"/>
      <w:marTop w:val="0"/>
      <w:marBottom w:val="0"/>
      <w:divBdr>
        <w:top w:val="none" w:sz="0" w:space="0" w:color="auto"/>
        <w:left w:val="none" w:sz="0" w:space="0" w:color="auto"/>
        <w:bottom w:val="none" w:sz="0" w:space="0" w:color="auto"/>
        <w:right w:val="none" w:sz="0" w:space="0" w:color="auto"/>
      </w:divBdr>
    </w:div>
    <w:div w:id="134181047">
      <w:bodyDiv w:val="1"/>
      <w:marLeft w:val="0"/>
      <w:marRight w:val="0"/>
      <w:marTop w:val="0"/>
      <w:marBottom w:val="0"/>
      <w:divBdr>
        <w:top w:val="none" w:sz="0" w:space="0" w:color="auto"/>
        <w:left w:val="none" w:sz="0" w:space="0" w:color="auto"/>
        <w:bottom w:val="none" w:sz="0" w:space="0" w:color="auto"/>
        <w:right w:val="none" w:sz="0" w:space="0" w:color="auto"/>
      </w:divBdr>
    </w:div>
    <w:div w:id="143863353">
      <w:bodyDiv w:val="1"/>
      <w:marLeft w:val="0"/>
      <w:marRight w:val="0"/>
      <w:marTop w:val="0"/>
      <w:marBottom w:val="0"/>
      <w:divBdr>
        <w:top w:val="none" w:sz="0" w:space="0" w:color="auto"/>
        <w:left w:val="none" w:sz="0" w:space="0" w:color="auto"/>
        <w:bottom w:val="none" w:sz="0" w:space="0" w:color="auto"/>
        <w:right w:val="none" w:sz="0" w:space="0" w:color="auto"/>
      </w:divBdr>
    </w:div>
    <w:div w:id="150685634">
      <w:bodyDiv w:val="1"/>
      <w:marLeft w:val="0"/>
      <w:marRight w:val="0"/>
      <w:marTop w:val="0"/>
      <w:marBottom w:val="0"/>
      <w:divBdr>
        <w:top w:val="none" w:sz="0" w:space="0" w:color="auto"/>
        <w:left w:val="none" w:sz="0" w:space="0" w:color="auto"/>
        <w:bottom w:val="none" w:sz="0" w:space="0" w:color="auto"/>
        <w:right w:val="none" w:sz="0" w:space="0" w:color="auto"/>
      </w:divBdr>
    </w:div>
    <w:div w:id="181557731">
      <w:bodyDiv w:val="1"/>
      <w:marLeft w:val="0"/>
      <w:marRight w:val="0"/>
      <w:marTop w:val="0"/>
      <w:marBottom w:val="0"/>
      <w:divBdr>
        <w:top w:val="none" w:sz="0" w:space="0" w:color="auto"/>
        <w:left w:val="none" w:sz="0" w:space="0" w:color="auto"/>
        <w:bottom w:val="none" w:sz="0" w:space="0" w:color="auto"/>
        <w:right w:val="none" w:sz="0" w:space="0" w:color="auto"/>
      </w:divBdr>
    </w:div>
    <w:div w:id="191310292">
      <w:bodyDiv w:val="1"/>
      <w:marLeft w:val="0"/>
      <w:marRight w:val="0"/>
      <w:marTop w:val="0"/>
      <w:marBottom w:val="0"/>
      <w:divBdr>
        <w:top w:val="none" w:sz="0" w:space="0" w:color="auto"/>
        <w:left w:val="none" w:sz="0" w:space="0" w:color="auto"/>
        <w:bottom w:val="none" w:sz="0" w:space="0" w:color="auto"/>
        <w:right w:val="none" w:sz="0" w:space="0" w:color="auto"/>
      </w:divBdr>
    </w:div>
    <w:div w:id="203907917">
      <w:bodyDiv w:val="1"/>
      <w:marLeft w:val="0"/>
      <w:marRight w:val="0"/>
      <w:marTop w:val="0"/>
      <w:marBottom w:val="0"/>
      <w:divBdr>
        <w:top w:val="none" w:sz="0" w:space="0" w:color="auto"/>
        <w:left w:val="none" w:sz="0" w:space="0" w:color="auto"/>
        <w:bottom w:val="none" w:sz="0" w:space="0" w:color="auto"/>
        <w:right w:val="none" w:sz="0" w:space="0" w:color="auto"/>
      </w:divBdr>
    </w:div>
    <w:div w:id="205609763">
      <w:bodyDiv w:val="1"/>
      <w:marLeft w:val="0"/>
      <w:marRight w:val="0"/>
      <w:marTop w:val="0"/>
      <w:marBottom w:val="0"/>
      <w:divBdr>
        <w:top w:val="none" w:sz="0" w:space="0" w:color="auto"/>
        <w:left w:val="none" w:sz="0" w:space="0" w:color="auto"/>
        <w:bottom w:val="none" w:sz="0" w:space="0" w:color="auto"/>
        <w:right w:val="none" w:sz="0" w:space="0" w:color="auto"/>
      </w:divBdr>
    </w:div>
    <w:div w:id="219286377">
      <w:bodyDiv w:val="1"/>
      <w:marLeft w:val="0"/>
      <w:marRight w:val="0"/>
      <w:marTop w:val="0"/>
      <w:marBottom w:val="0"/>
      <w:divBdr>
        <w:top w:val="none" w:sz="0" w:space="0" w:color="auto"/>
        <w:left w:val="none" w:sz="0" w:space="0" w:color="auto"/>
        <w:bottom w:val="none" w:sz="0" w:space="0" w:color="auto"/>
        <w:right w:val="none" w:sz="0" w:space="0" w:color="auto"/>
      </w:divBdr>
    </w:div>
    <w:div w:id="232080349">
      <w:bodyDiv w:val="1"/>
      <w:marLeft w:val="0"/>
      <w:marRight w:val="0"/>
      <w:marTop w:val="0"/>
      <w:marBottom w:val="0"/>
      <w:divBdr>
        <w:top w:val="none" w:sz="0" w:space="0" w:color="auto"/>
        <w:left w:val="none" w:sz="0" w:space="0" w:color="auto"/>
        <w:bottom w:val="none" w:sz="0" w:space="0" w:color="auto"/>
        <w:right w:val="none" w:sz="0" w:space="0" w:color="auto"/>
      </w:divBdr>
    </w:div>
    <w:div w:id="234247830">
      <w:bodyDiv w:val="1"/>
      <w:marLeft w:val="0"/>
      <w:marRight w:val="0"/>
      <w:marTop w:val="0"/>
      <w:marBottom w:val="0"/>
      <w:divBdr>
        <w:top w:val="none" w:sz="0" w:space="0" w:color="auto"/>
        <w:left w:val="none" w:sz="0" w:space="0" w:color="auto"/>
        <w:bottom w:val="none" w:sz="0" w:space="0" w:color="auto"/>
        <w:right w:val="none" w:sz="0" w:space="0" w:color="auto"/>
      </w:divBdr>
    </w:div>
    <w:div w:id="251397670">
      <w:bodyDiv w:val="1"/>
      <w:marLeft w:val="0"/>
      <w:marRight w:val="0"/>
      <w:marTop w:val="0"/>
      <w:marBottom w:val="0"/>
      <w:divBdr>
        <w:top w:val="none" w:sz="0" w:space="0" w:color="auto"/>
        <w:left w:val="none" w:sz="0" w:space="0" w:color="auto"/>
        <w:bottom w:val="none" w:sz="0" w:space="0" w:color="auto"/>
        <w:right w:val="none" w:sz="0" w:space="0" w:color="auto"/>
      </w:divBdr>
    </w:div>
    <w:div w:id="273440937">
      <w:bodyDiv w:val="1"/>
      <w:marLeft w:val="0"/>
      <w:marRight w:val="0"/>
      <w:marTop w:val="0"/>
      <w:marBottom w:val="0"/>
      <w:divBdr>
        <w:top w:val="none" w:sz="0" w:space="0" w:color="auto"/>
        <w:left w:val="none" w:sz="0" w:space="0" w:color="auto"/>
        <w:bottom w:val="none" w:sz="0" w:space="0" w:color="auto"/>
        <w:right w:val="none" w:sz="0" w:space="0" w:color="auto"/>
      </w:divBdr>
    </w:div>
    <w:div w:id="275335334">
      <w:bodyDiv w:val="1"/>
      <w:marLeft w:val="0"/>
      <w:marRight w:val="0"/>
      <w:marTop w:val="0"/>
      <w:marBottom w:val="0"/>
      <w:divBdr>
        <w:top w:val="none" w:sz="0" w:space="0" w:color="auto"/>
        <w:left w:val="none" w:sz="0" w:space="0" w:color="auto"/>
        <w:bottom w:val="none" w:sz="0" w:space="0" w:color="auto"/>
        <w:right w:val="none" w:sz="0" w:space="0" w:color="auto"/>
      </w:divBdr>
    </w:div>
    <w:div w:id="275409376">
      <w:bodyDiv w:val="1"/>
      <w:marLeft w:val="0"/>
      <w:marRight w:val="0"/>
      <w:marTop w:val="0"/>
      <w:marBottom w:val="0"/>
      <w:divBdr>
        <w:top w:val="none" w:sz="0" w:space="0" w:color="auto"/>
        <w:left w:val="none" w:sz="0" w:space="0" w:color="auto"/>
        <w:bottom w:val="none" w:sz="0" w:space="0" w:color="auto"/>
        <w:right w:val="none" w:sz="0" w:space="0" w:color="auto"/>
      </w:divBdr>
    </w:div>
    <w:div w:id="291711029">
      <w:bodyDiv w:val="1"/>
      <w:marLeft w:val="0"/>
      <w:marRight w:val="0"/>
      <w:marTop w:val="0"/>
      <w:marBottom w:val="0"/>
      <w:divBdr>
        <w:top w:val="none" w:sz="0" w:space="0" w:color="auto"/>
        <w:left w:val="none" w:sz="0" w:space="0" w:color="auto"/>
        <w:bottom w:val="none" w:sz="0" w:space="0" w:color="auto"/>
        <w:right w:val="none" w:sz="0" w:space="0" w:color="auto"/>
      </w:divBdr>
    </w:div>
    <w:div w:id="312763240">
      <w:bodyDiv w:val="1"/>
      <w:marLeft w:val="0"/>
      <w:marRight w:val="0"/>
      <w:marTop w:val="0"/>
      <w:marBottom w:val="0"/>
      <w:divBdr>
        <w:top w:val="none" w:sz="0" w:space="0" w:color="auto"/>
        <w:left w:val="none" w:sz="0" w:space="0" w:color="auto"/>
        <w:bottom w:val="none" w:sz="0" w:space="0" w:color="auto"/>
        <w:right w:val="none" w:sz="0" w:space="0" w:color="auto"/>
      </w:divBdr>
    </w:div>
    <w:div w:id="322706216">
      <w:bodyDiv w:val="1"/>
      <w:marLeft w:val="0"/>
      <w:marRight w:val="0"/>
      <w:marTop w:val="0"/>
      <w:marBottom w:val="0"/>
      <w:divBdr>
        <w:top w:val="none" w:sz="0" w:space="0" w:color="auto"/>
        <w:left w:val="none" w:sz="0" w:space="0" w:color="auto"/>
        <w:bottom w:val="none" w:sz="0" w:space="0" w:color="auto"/>
        <w:right w:val="none" w:sz="0" w:space="0" w:color="auto"/>
      </w:divBdr>
    </w:div>
    <w:div w:id="323512270">
      <w:bodyDiv w:val="1"/>
      <w:marLeft w:val="0"/>
      <w:marRight w:val="0"/>
      <w:marTop w:val="0"/>
      <w:marBottom w:val="0"/>
      <w:divBdr>
        <w:top w:val="none" w:sz="0" w:space="0" w:color="auto"/>
        <w:left w:val="none" w:sz="0" w:space="0" w:color="auto"/>
        <w:bottom w:val="none" w:sz="0" w:space="0" w:color="auto"/>
        <w:right w:val="none" w:sz="0" w:space="0" w:color="auto"/>
      </w:divBdr>
    </w:div>
    <w:div w:id="338627489">
      <w:bodyDiv w:val="1"/>
      <w:marLeft w:val="0"/>
      <w:marRight w:val="0"/>
      <w:marTop w:val="0"/>
      <w:marBottom w:val="0"/>
      <w:divBdr>
        <w:top w:val="none" w:sz="0" w:space="0" w:color="auto"/>
        <w:left w:val="none" w:sz="0" w:space="0" w:color="auto"/>
        <w:bottom w:val="none" w:sz="0" w:space="0" w:color="auto"/>
        <w:right w:val="none" w:sz="0" w:space="0" w:color="auto"/>
      </w:divBdr>
    </w:div>
    <w:div w:id="341595234">
      <w:bodyDiv w:val="1"/>
      <w:marLeft w:val="0"/>
      <w:marRight w:val="0"/>
      <w:marTop w:val="0"/>
      <w:marBottom w:val="0"/>
      <w:divBdr>
        <w:top w:val="none" w:sz="0" w:space="0" w:color="auto"/>
        <w:left w:val="none" w:sz="0" w:space="0" w:color="auto"/>
        <w:bottom w:val="none" w:sz="0" w:space="0" w:color="auto"/>
        <w:right w:val="none" w:sz="0" w:space="0" w:color="auto"/>
      </w:divBdr>
    </w:div>
    <w:div w:id="344750648">
      <w:bodyDiv w:val="1"/>
      <w:marLeft w:val="0"/>
      <w:marRight w:val="0"/>
      <w:marTop w:val="0"/>
      <w:marBottom w:val="0"/>
      <w:divBdr>
        <w:top w:val="none" w:sz="0" w:space="0" w:color="auto"/>
        <w:left w:val="none" w:sz="0" w:space="0" w:color="auto"/>
        <w:bottom w:val="none" w:sz="0" w:space="0" w:color="auto"/>
        <w:right w:val="none" w:sz="0" w:space="0" w:color="auto"/>
      </w:divBdr>
    </w:div>
    <w:div w:id="347877134">
      <w:bodyDiv w:val="1"/>
      <w:marLeft w:val="0"/>
      <w:marRight w:val="0"/>
      <w:marTop w:val="0"/>
      <w:marBottom w:val="0"/>
      <w:divBdr>
        <w:top w:val="none" w:sz="0" w:space="0" w:color="auto"/>
        <w:left w:val="none" w:sz="0" w:space="0" w:color="auto"/>
        <w:bottom w:val="none" w:sz="0" w:space="0" w:color="auto"/>
        <w:right w:val="none" w:sz="0" w:space="0" w:color="auto"/>
      </w:divBdr>
    </w:div>
    <w:div w:id="349141101">
      <w:bodyDiv w:val="1"/>
      <w:marLeft w:val="0"/>
      <w:marRight w:val="0"/>
      <w:marTop w:val="0"/>
      <w:marBottom w:val="0"/>
      <w:divBdr>
        <w:top w:val="none" w:sz="0" w:space="0" w:color="auto"/>
        <w:left w:val="none" w:sz="0" w:space="0" w:color="auto"/>
        <w:bottom w:val="none" w:sz="0" w:space="0" w:color="auto"/>
        <w:right w:val="none" w:sz="0" w:space="0" w:color="auto"/>
      </w:divBdr>
    </w:div>
    <w:div w:id="358355423">
      <w:bodyDiv w:val="1"/>
      <w:marLeft w:val="0"/>
      <w:marRight w:val="0"/>
      <w:marTop w:val="0"/>
      <w:marBottom w:val="0"/>
      <w:divBdr>
        <w:top w:val="none" w:sz="0" w:space="0" w:color="auto"/>
        <w:left w:val="none" w:sz="0" w:space="0" w:color="auto"/>
        <w:bottom w:val="none" w:sz="0" w:space="0" w:color="auto"/>
        <w:right w:val="none" w:sz="0" w:space="0" w:color="auto"/>
      </w:divBdr>
    </w:div>
    <w:div w:id="378866470">
      <w:bodyDiv w:val="1"/>
      <w:marLeft w:val="0"/>
      <w:marRight w:val="0"/>
      <w:marTop w:val="0"/>
      <w:marBottom w:val="0"/>
      <w:divBdr>
        <w:top w:val="none" w:sz="0" w:space="0" w:color="auto"/>
        <w:left w:val="none" w:sz="0" w:space="0" w:color="auto"/>
        <w:bottom w:val="none" w:sz="0" w:space="0" w:color="auto"/>
        <w:right w:val="none" w:sz="0" w:space="0" w:color="auto"/>
      </w:divBdr>
    </w:div>
    <w:div w:id="392965580">
      <w:bodyDiv w:val="1"/>
      <w:marLeft w:val="0"/>
      <w:marRight w:val="0"/>
      <w:marTop w:val="0"/>
      <w:marBottom w:val="0"/>
      <w:divBdr>
        <w:top w:val="none" w:sz="0" w:space="0" w:color="auto"/>
        <w:left w:val="none" w:sz="0" w:space="0" w:color="auto"/>
        <w:bottom w:val="none" w:sz="0" w:space="0" w:color="auto"/>
        <w:right w:val="none" w:sz="0" w:space="0" w:color="auto"/>
      </w:divBdr>
    </w:div>
    <w:div w:id="429742243">
      <w:bodyDiv w:val="1"/>
      <w:marLeft w:val="0"/>
      <w:marRight w:val="0"/>
      <w:marTop w:val="0"/>
      <w:marBottom w:val="0"/>
      <w:divBdr>
        <w:top w:val="none" w:sz="0" w:space="0" w:color="auto"/>
        <w:left w:val="none" w:sz="0" w:space="0" w:color="auto"/>
        <w:bottom w:val="none" w:sz="0" w:space="0" w:color="auto"/>
        <w:right w:val="none" w:sz="0" w:space="0" w:color="auto"/>
      </w:divBdr>
    </w:div>
    <w:div w:id="430442624">
      <w:bodyDiv w:val="1"/>
      <w:marLeft w:val="0"/>
      <w:marRight w:val="0"/>
      <w:marTop w:val="0"/>
      <w:marBottom w:val="0"/>
      <w:divBdr>
        <w:top w:val="none" w:sz="0" w:space="0" w:color="auto"/>
        <w:left w:val="none" w:sz="0" w:space="0" w:color="auto"/>
        <w:bottom w:val="none" w:sz="0" w:space="0" w:color="auto"/>
        <w:right w:val="none" w:sz="0" w:space="0" w:color="auto"/>
      </w:divBdr>
    </w:div>
    <w:div w:id="430974361">
      <w:bodyDiv w:val="1"/>
      <w:marLeft w:val="0"/>
      <w:marRight w:val="0"/>
      <w:marTop w:val="0"/>
      <w:marBottom w:val="0"/>
      <w:divBdr>
        <w:top w:val="none" w:sz="0" w:space="0" w:color="auto"/>
        <w:left w:val="none" w:sz="0" w:space="0" w:color="auto"/>
        <w:bottom w:val="none" w:sz="0" w:space="0" w:color="auto"/>
        <w:right w:val="none" w:sz="0" w:space="0" w:color="auto"/>
      </w:divBdr>
    </w:div>
    <w:div w:id="433862538">
      <w:bodyDiv w:val="1"/>
      <w:marLeft w:val="0"/>
      <w:marRight w:val="0"/>
      <w:marTop w:val="0"/>
      <w:marBottom w:val="0"/>
      <w:divBdr>
        <w:top w:val="none" w:sz="0" w:space="0" w:color="auto"/>
        <w:left w:val="none" w:sz="0" w:space="0" w:color="auto"/>
        <w:bottom w:val="none" w:sz="0" w:space="0" w:color="auto"/>
        <w:right w:val="none" w:sz="0" w:space="0" w:color="auto"/>
      </w:divBdr>
    </w:div>
    <w:div w:id="449593489">
      <w:bodyDiv w:val="1"/>
      <w:marLeft w:val="0"/>
      <w:marRight w:val="0"/>
      <w:marTop w:val="0"/>
      <w:marBottom w:val="0"/>
      <w:divBdr>
        <w:top w:val="none" w:sz="0" w:space="0" w:color="auto"/>
        <w:left w:val="none" w:sz="0" w:space="0" w:color="auto"/>
        <w:bottom w:val="none" w:sz="0" w:space="0" w:color="auto"/>
        <w:right w:val="none" w:sz="0" w:space="0" w:color="auto"/>
      </w:divBdr>
    </w:div>
    <w:div w:id="453059419">
      <w:bodyDiv w:val="1"/>
      <w:marLeft w:val="0"/>
      <w:marRight w:val="0"/>
      <w:marTop w:val="0"/>
      <w:marBottom w:val="0"/>
      <w:divBdr>
        <w:top w:val="none" w:sz="0" w:space="0" w:color="auto"/>
        <w:left w:val="none" w:sz="0" w:space="0" w:color="auto"/>
        <w:bottom w:val="none" w:sz="0" w:space="0" w:color="auto"/>
        <w:right w:val="none" w:sz="0" w:space="0" w:color="auto"/>
      </w:divBdr>
    </w:div>
    <w:div w:id="458035295">
      <w:bodyDiv w:val="1"/>
      <w:marLeft w:val="0"/>
      <w:marRight w:val="0"/>
      <w:marTop w:val="0"/>
      <w:marBottom w:val="0"/>
      <w:divBdr>
        <w:top w:val="none" w:sz="0" w:space="0" w:color="auto"/>
        <w:left w:val="none" w:sz="0" w:space="0" w:color="auto"/>
        <w:bottom w:val="none" w:sz="0" w:space="0" w:color="auto"/>
        <w:right w:val="none" w:sz="0" w:space="0" w:color="auto"/>
      </w:divBdr>
    </w:div>
    <w:div w:id="482164993">
      <w:bodyDiv w:val="1"/>
      <w:marLeft w:val="0"/>
      <w:marRight w:val="0"/>
      <w:marTop w:val="0"/>
      <w:marBottom w:val="0"/>
      <w:divBdr>
        <w:top w:val="none" w:sz="0" w:space="0" w:color="auto"/>
        <w:left w:val="none" w:sz="0" w:space="0" w:color="auto"/>
        <w:bottom w:val="none" w:sz="0" w:space="0" w:color="auto"/>
        <w:right w:val="none" w:sz="0" w:space="0" w:color="auto"/>
      </w:divBdr>
    </w:div>
    <w:div w:id="486213559">
      <w:bodyDiv w:val="1"/>
      <w:marLeft w:val="0"/>
      <w:marRight w:val="0"/>
      <w:marTop w:val="0"/>
      <w:marBottom w:val="0"/>
      <w:divBdr>
        <w:top w:val="none" w:sz="0" w:space="0" w:color="auto"/>
        <w:left w:val="none" w:sz="0" w:space="0" w:color="auto"/>
        <w:bottom w:val="none" w:sz="0" w:space="0" w:color="auto"/>
        <w:right w:val="none" w:sz="0" w:space="0" w:color="auto"/>
      </w:divBdr>
    </w:div>
    <w:div w:id="501432679">
      <w:bodyDiv w:val="1"/>
      <w:marLeft w:val="0"/>
      <w:marRight w:val="0"/>
      <w:marTop w:val="0"/>
      <w:marBottom w:val="0"/>
      <w:divBdr>
        <w:top w:val="none" w:sz="0" w:space="0" w:color="auto"/>
        <w:left w:val="none" w:sz="0" w:space="0" w:color="auto"/>
        <w:bottom w:val="none" w:sz="0" w:space="0" w:color="auto"/>
        <w:right w:val="none" w:sz="0" w:space="0" w:color="auto"/>
      </w:divBdr>
      <w:divsChild>
        <w:div w:id="139427966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507788070">
      <w:bodyDiv w:val="1"/>
      <w:marLeft w:val="0"/>
      <w:marRight w:val="0"/>
      <w:marTop w:val="0"/>
      <w:marBottom w:val="0"/>
      <w:divBdr>
        <w:top w:val="none" w:sz="0" w:space="0" w:color="auto"/>
        <w:left w:val="none" w:sz="0" w:space="0" w:color="auto"/>
        <w:bottom w:val="none" w:sz="0" w:space="0" w:color="auto"/>
        <w:right w:val="none" w:sz="0" w:space="0" w:color="auto"/>
      </w:divBdr>
    </w:div>
    <w:div w:id="511341251">
      <w:bodyDiv w:val="1"/>
      <w:marLeft w:val="0"/>
      <w:marRight w:val="0"/>
      <w:marTop w:val="0"/>
      <w:marBottom w:val="0"/>
      <w:divBdr>
        <w:top w:val="none" w:sz="0" w:space="0" w:color="auto"/>
        <w:left w:val="none" w:sz="0" w:space="0" w:color="auto"/>
        <w:bottom w:val="none" w:sz="0" w:space="0" w:color="auto"/>
        <w:right w:val="none" w:sz="0" w:space="0" w:color="auto"/>
      </w:divBdr>
      <w:divsChild>
        <w:div w:id="66062608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515005551">
      <w:bodyDiv w:val="1"/>
      <w:marLeft w:val="0"/>
      <w:marRight w:val="0"/>
      <w:marTop w:val="0"/>
      <w:marBottom w:val="0"/>
      <w:divBdr>
        <w:top w:val="none" w:sz="0" w:space="0" w:color="auto"/>
        <w:left w:val="none" w:sz="0" w:space="0" w:color="auto"/>
        <w:bottom w:val="none" w:sz="0" w:space="0" w:color="auto"/>
        <w:right w:val="none" w:sz="0" w:space="0" w:color="auto"/>
      </w:divBdr>
    </w:div>
    <w:div w:id="531496971">
      <w:bodyDiv w:val="1"/>
      <w:marLeft w:val="0"/>
      <w:marRight w:val="0"/>
      <w:marTop w:val="0"/>
      <w:marBottom w:val="0"/>
      <w:divBdr>
        <w:top w:val="none" w:sz="0" w:space="0" w:color="auto"/>
        <w:left w:val="none" w:sz="0" w:space="0" w:color="auto"/>
        <w:bottom w:val="none" w:sz="0" w:space="0" w:color="auto"/>
        <w:right w:val="none" w:sz="0" w:space="0" w:color="auto"/>
      </w:divBdr>
    </w:div>
    <w:div w:id="552884290">
      <w:bodyDiv w:val="1"/>
      <w:marLeft w:val="0"/>
      <w:marRight w:val="0"/>
      <w:marTop w:val="0"/>
      <w:marBottom w:val="0"/>
      <w:divBdr>
        <w:top w:val="none" w:sz="0" w:space="0" w:color="auto"/>
        <w:left w:val="none" w:sz="0" w:space="0" w:color="auto"/>
        <w:bottom w:val="none" w:sz="0" w:space="0" w:color="auto"/>
        <w:right w:val="none" w:sz="0" w:space="0" w:color="auto"/>
      </w:divBdr>
    </w:div>
    <w:div w:id="557977721">
      <w:bodyDiv w:val="1"/>
      <w:marLeft w:val="0"/>
      <w:marRight w:val="0"/>
      <w:marTop w:val="0"/>
      <w:marBottom w:val="0"/>
      <w:divBdr>
        <w:top w:val="none" w:sz="0" w:space="0" w:color="auto"/>
        <w:left w:val="none" w:sz="0" w:space="0" w:color="auto"/>
        <w:bottom w:val="none" w:sz="0" w:space="0" w:color="auto"/>
        <w:right w:val="none" w:sz="0" w:space="0" w:color="auto"/>
      </w:divBdr>
    </w:div>
    <w:div w:id="558634813">
      <w:bodyDiv w:val="1"/>
      <w:marLeft w:val="0"/>
      <w:marRight w:val="0"/>
      <w:marTop w:val="0"/>
      <w:marBottom w:val="0"/>
      <w:divBdr>
        <w:top w:val="none" w:sz="0" w:space="0" w:color="auto"/>
        <w:left w:val="none" w:sz="0" w:space="0" w:color="auto"/>
        <w:bottom w:val="none" w:sz="0" w:space="0" w:color="auto"/>
        <w:right w:val="none" w:sz="0" w:space="0" w:color="auto"/>
      </w:divBdr>
    </w:div>
    <w:div w:id="567958249">
      <w:bodyDiv w:val="1"/>
      <w:marLeft w:val="0"/>
      <w:marRight w:val="0"/>
      <w:marTop w:val="0"/>
      <w:marBottom w:val="0"/>
      <w:divBdr>
        <w:top w:val="none" w:sz="0" w:space="0" w:color="auto"/>
        <w:left w:val="none" w:sz="0" w:space="0" w:color="auto"/>
        <w:bottom w:val="none" w:sz="0" w:space="0" w:color="auto"/>
        <w:right w:val="none" w:sz="0" w:space="0" w:color="auto"/>
      </w:divBdr>
    </w:div>
    <w:div w:id="579172860">
      <w:bodyDiv w:val="1"/>
      <w:marLeft w:val="0"/>
      <w:marRight w:val="0"/>
      <w:marTop w:val="0"/>
      <w:marBottom w:val="0"/>
      <w:divBdr>
        <w:top w:val="none" w:sz="0" w:space="0" w:color="auto"/>
        <w:left w:val="none" w:sz="0" w:space="0" w:color="auto"/>
        <w:bottom w:val="none" w:sz="0" w:space="0" w:color="auto"/>
        <w:right w:val="none" w:sz="0" w:space="0" w:color="auto"/>
      </w:divBdr>
    </w:div>
    <w:div w:id="600576275">
      <w:bodyDiv w:val="1"/>
      <w:marLeft w:val="0"/>
      <w:marRight w:val="0"/>
      <w:marTop w:val="0"/>
      <w:marBottom w:val="0"/>
      <w:divBdr>
        <w:top w:val="none" w:sz="0" w:space="0" w:color="auto"/>
        <w:left w:val="none" w:sz="0" w:space="0" w:color="auto"/>
        <w:bottom w:val="none" w:sz="0" w:space="0" w:color="auto"/>
        <w:right w:val="none" w:sz="0" w:space="0" w:color="auto"/>
      </w:divBdr>
    </w:div>
    <w:div w:id="623803809">
      <w:bodyDiv w:val="1"/>
      <w:marLeft w:val="0"/>
      <w:marRight w:val="0"/>
      <w:marTop w:val="0"/>
      <w:marBottom w:val="0"/>
      <w:divBdr>
        <w:top w:val="none" w:sz="0" w:space="0" w:color="auto"/>
        <w:left w:val="none" w:sz="0" w:space="0" w:color="auto"/>
        <w:bottom w:val="none" w:sz="0" w:space="0" w:color="auto"/>
        <w:right w:val="none" w:sz="0" w:space="0" w:color="auto"/>
      </w:divBdr>
    </w:div>
    <w:div w:id="630742842">
      <w:bodyDiv w:val="1"/>
      <w:marLeft w:val="0"/>
      <w:marRight w:val="0"/>
      <w:marTop w:val="0"/>
      <w:marBottom w:val="0"/>
      <w:divBdr>
        <w:top w:val="none" w:sz="0" w:space="0" w:color="auto"/>
        <w:left w:val="none" w:sz="0" w:space="0" w:color="auto"/>
        <w:bottom w:val="none" w:sz="0" w:space="0" w:color="auto"/>
        <w:right w:val="none" w:sz="0" w:space="0" w:color="auto"/>
      </w:divBdr>
    </w:div>
    <w:div w:id="634721785">
      <w:bodyDiv w:val="1"/>
      <w:marLeft w:val="0"/>
      <w:marRight w:val="0"/>
      <w:marTop w:val="0"/>
      <w:marBottom w:val="0"/>
      <w:divBdr>
        <w:top w:val="none" w:sz="0" w:space="0" w:color="auto"/>
        <w:left w:val="none" w:sz="0" w:space="0" w:color="auto"/>
        <w:bottom w:val="none" w:sz="0" w:space="0" w:color="auto"/>
        <w:right w:val="none" w:sz="0" w:space="0" w:color="auto"/>
      </w:divBdr>
    </w:div>
    <w:div w:id="655495310">
      <w:bodyDiv w:val="1"/>
      <w:marLeft w:val="0"/>
      <w:marRight w:val="0"/>
      <w:marTop w:val="0"/>
      <w:marBottom w:val="0"/>
      <w:divBdr>
        <w:top w:val="none" w:sz="0" w:space="0" w:color="auto"/>
        <w:left w:val="none" w:sz="0" w:space="0" w:color="auto"/>
        <w:bottom w:val="none" w:sz="0" w:space="0" w:color="auto"/>
        <w:right w:val="none" w:sz="0" w:space="0" w:color="auto"/>
      </w:divBdr>
    </w:div>
    <w:div w:id="682362335">
      <w:bodyDiv w:val="1"/>
      <w:marLeft w:val="0"/>
      <w:marRight w:val="0"/>
      <w:marTop w:val="0"/>
      <w:marBottom w:val="0"/>
      <w:divBdr>
        <w:top w:val="none" w:sz="0" w:space="0" w:color="auto"/>
        <w:left w:val="none" w:sz="0" w:space="0" w:color="auto"/>
        <w:bottom w:val="none" w:sz="0" w:space="0" w:color="auto"/>
        <w:right w:val="none" w:sz="0" w:space="0" w:color="auto"/>
      </w:divBdr>
    </w:div>
    <w:div w:id="698626974">
      <w:bodyDiv w:val="1"/>
      <w:marLeft w:val="0"/>
      <w:marRight w:val="0"/>
      <w:marTop w:val="0"/>
      <w:marBottom w:val="0"/>
      <w:divBdr>
        <w:top w:val="none" w:sz="0" w:space="0" w:color="auto"/>
        <w:left w:val="none" w:sz="0" w:space="0" w:color="auto"/>
        <w:bottom w:val="none" w:sz="0" w:space="0" w:color="auto"/>
        <w:right w:val="none" w:sz="0" w:space="0" w:color="auto"/>
      </w:divBdr>
    </w:div>
    <w:div w:id="732042815">
      <w:bodyDiv w:val="1"/>
      <w:marLeft w:val="0"/>
      <w:marRight w:val="0"/>
      <w:marTop w:val="0"/>
      <w:marBottom w:val="0"/>
      <w:divBdr>
        <w:top w:val="none" w:sz="0" w:space="0" w:color="auto"/>
        <w:left w:val="none" w:sz="0" w:space="0" w:color="auto"/>
        <w:bottom w:val="none" w:sz="0" w:space="0" w:color="auto"/>
        <w:right w:val="none" w:sz="0" w:space="0" w:color="auto"/>
      </w:divBdr>
    </w:div>
    <w:div w:id="741490080">
      <w:bodyDiv w:val="1"/>
      <w:marLeft w:val="0"/>
      <w:marRight w:val="0"/>
      <w:marTop w:val="0"/>
      <w:marBottom w:val="0"/>
      <w:divBdr>
        <w:top w:val="none" w:sz="0" w:space="0" w:color="auto"/>
        <w:left w:val="none" w:sz="0" w:space="0" w:color="auto"/>
        <w:bottom w:val="none" w:sz="0" w:space="0" w:color="auto"/>
        <w:right w:val="none" w:sz="0" w:space="0" w:color="auto"/>
      </w:divBdr>
    </w:div>
    <w:div w:id="745297148">
      <w:bodyDiv w:val="1"/>
      <w:marLeft w:val="0"/>
      <w:marRight w:val="0"/>
      <w:marTop w:val="0"/>
      <w:marBottom w:val="0"/>
      <w:divBdr>
        <w:top w:val="none" w:sz="0" w:space="0" w:color="auto"/>
        <w:left w:val="none" w:sz="0" w:space="0" w:color="auto"/>
        <w:bottom w:val="none" w:sz="0" w:space="0" w:color="auto"/>
        <w:right w:val="none" w:sz="0" w:space="0" w:color="auto"/>
      </w:divBdr>
    </w:div>
    <w:div w:id="746263468">
      <w:bodyDiv w:val="1"/>
      <w:marLeft w:val="0"/>
      <w:marRight w:val="0"/>
      <w:marTop w:val="0"/>
      <w:marBottom w:val="0"/>
      <w:divBdr>
        <w:top w:val="none" w:sz="0" w:space="0" w:color="auto"/>
        <w:left w:val="none" w:sz="0" w:space="0" w:color="auto"/>
        <w:bottom w:val="none" w:sz="0" w:space="0" w:color="auto"/>
        <w:right w:val="none" w:sz="0" w:space="0" w:color="auto"/>
      </w:divBdr>
    </w:div>
    <w:div w:id="748235480">
      <w:bodyDiv w:val="1"/>
      <w:marLeft w:val="0"/>
      <w:marRight w:val="0"/>
      <w:marTop w:val="0"/>
      <w:marBottom w:val="0"/>
      <w:divBdr>
        <w:top w:val="none" w:sz="0" w:space="0" w:color="auto"/>
        <w:left w:val="none" w:sz="0" w:space="0" w:color="auto"/>
        <w:bottom w:val="none" w:sz="0" w:space="0" w:color="auto"/>
        <w:right w:val="none" w:sz="0" w:space="0" w:color="auto"/>
      </w:divBdr>
    </w:div>
    <w:div w:id="759444082">
      <w:bodyDiv w:val="1"/>
      <w:marLeft w:val="0"/>
      <w:marRight w:val="0"/>
      <w:marTop w:val="0"/>
      <w:marBottom w:val="0"/>
      <w:divBdr>
        <w:top w:val="none" w:sz="0" w:space="0" w:color="auto"/>
        <w:left w:val="none" w:sz="0" w:space="0" w:color="auto"/>
        <w:bottom w:val="none" w:sz="0" w:space="0" w:color="auto"/>
        <w:right w:val="none" w:sz="0" w:space="0" w:color="auto"/>
      </w:divBdr>
    </w:div>
    <w:div w:id="776368849">
      <w:bodyDiv w:val="1"/>
      <w:marLeft w:val="0"/>
      <w:marRight w:val="0"/>
      <w:marTop w:val="0"/>
      <w:marBottom w:val="0"/>
      <w:divBdr>
        <w:top w:val="none" w:sz="0" w:space="0" w:color="auto"/>
        <w:left w:val="none" w:sz="0" w:space="0" w:color="auto"/>
        <w:bottom w:val="none" w:sz="0" w:space="0" w:color="auto"/>
        <w:right w:val="none" w:sz="0" w:space="0" w:color="auto"/>
      </w:divBdr>
    </w:div>
    <w:div w:id="800222740">
      <w:bodyDiv w:val="1"/>
      <w:marLeft w:val="0"/>
      <w:marRight w:val="0"/>
      <w:marTop w:val="0"/>
      <w:marBottom w:val="0"/>
      <w:divBdr>
        <w:top w:val="none" w:sz="0" w:space="0" w:color="auto"/>
        <w:left w:val="none" w:sz="0" w:space="0" w:color="auto"/>
        <w:bottom w:val="none" w:sz="0" w:space="0" w:color="auto"/>
        <w:right w:val="none" w:sz="0" w:space="0" w:color="auto"/>
      </w:divBdr>
    </w:div>
    <w:div w:id="809782226">
      <w:bodyDiv w:val="1"/>
      <w:marLeft w:val="0"/>
      <w:marRight w:val="0"/>
      <w:marTop w:val="0"/>
      <w:marBottom w:val="0"/>
      <w:divBdr>
        <w:top w:val="none" w:sz="0" w:space="0" w:color="auto"/>
        <w:left w:val="none" w:sz="0" w:space="0" w:color="auto"/>
        <w:bottom w:val="none" w:sz="0" w:space="0" w:color="auto"/>
        <w:right w:val="none" w:sz="0" w:space="0" w:color="auto"/>
      </w:divBdr>
    </w:div>
    <w:div w:id="815681176">
      <w:bodyDiv w:val="1"/>
      <w:marLeft w:val="0"/>
      <w:marRight w:val="0"/>
      <w:marTop w:val="0"/>
      <w:marBottom w:val="0"/>
      <w:divBdr>
        <w:top w:val="none" w:sz="0" w:space="0" w:color="auto"/>
        <w:left w:val="none" w:sz="0" w:space="0" w:color="auto"/>
        <w:bottom w:val="none" w:sz="0" w:space="0" w:color="auto"/>
        <w:right w:val="none" w:sz="0" w:space="0" w:color="auto"/>
      </w:divBdr>
    </w:div>
    <w:div w:id="817460469">
      <w:bodyDiv w:val="1"/>
      <w:marLeft w:val="0"/>
      <w:marRight w:val="0"/>
      <w:marTop w:val="0"/>
      <w:marBottom w:val="0"/>
      <w:divBdr>
        <w:top w:val="none" w:sz="0" w:space="0" w:color="auto"/>
        <w:left w:val="none" w:sz="0" w:space="0" w:color="auto"/>
        <w:bottom w:val="none" w:sz="0" w:space="0" w:color="auto"/>
        <w:right w:val="none" w:sz="0" w:space="0" w:color="auto"/>
      </w:divBdr>
    </w:div>
    <w:div w:id="830216721">
      <w:bodyDiv w:val="1"/>
      <w:marLeft w:val="0"/>
      <w:marRight w:val="0"/>
      <w:marTop w:val="0"/>
      <w:marBottom w:val="0"/>
      <w:divBdr>
        <w:top w:val="none" w:sz="0" w:space="0" w:color="auto"/>
        <w:left w:val="none" w:sz="0" w:space="0" w:color="auto"/>
        <w:bottom w:val="none" w:sz="0" w:space="0" w:color="auto"/>
        <w:right w:val="none" w:sz="0" w:space="0" w:color="auto"/>
      </w:divBdr>
    </w:div>
    <w:div w:id="853224723">
      <w:bodyDiv w:val="1"/>
      <w:marLeft w:val="0"/>
      <w:marRight w:val="0"/>
      <w:marTop w:val="0"/>
      <w:marBottom w:val="0"/>
      <w:divBdr>
        <w:top w:val="none" w:sz="0" w:space="0" w:color="auto"/>
        <w:left w:val="none" w:sz="0" w:space="0" w:color="auto"/>
        <w:bottom w:val="none" w:sz="0" w:space="0" w:color="auto"/>
        <w:right w:val="none" w:sz="0" w:space="0" w:color="auto"/>
      </w:divBdr>
    </w:div>
    <w:div w:id="856121561">
      <w:bodyDiv w:val="1"/>
      <w:marLeft w:val="0"/>
      <w:marRight w:val="0"/>
      <w:marTop w:val="0"/>
      <w:marBottom w:val="0"/>
      <w:divBdr>
        <w:top w:val="none" w:sz="0" w:space="0" w:color="auto"/>
        <w:left w:val="none" w:sz="0" w:space="0" w:color="auto"/>
        <w:bottom w:val="none" w:sz="0" w:space="0" w:color="auto"/>
        <w:right w:val="none" w:sz="0" w:space="0" w:color="auto"/>
      </w:divBdr>
    </w:div>
    <w:div w:id="870731610">
      <w:bodyDiv w:val="1"/>
      <w:marLeft w:val="0"/>
      <w:marRight w:val="0"/>
      <w:marTop w:val="0"/>
      <w:marBottom w:val="0"/>
      <w:divBdr>
        <w:top w:val="none" w:sz="0" w:space="0" w:color="auto"/>
        <w:left w:val="none" w:sz="0" w:space="0" w:color="auto"/>
        <w:bottom w:val="none" w:sz="0" w:space="0" w:color="auto"/>
        <w:right w:val="none" w:sz="0" w:space="0" w:color="auto"/>
      </w:divBdr>
    </w:div>
    <w:div w:id="871958457">
      <w:bodyDiv w:val="1"/>
      <w:marLeft w:val="0"/>
      <w:marRight w:val="0"/>
      <w:marTop w:val="0"/>
      <w:marBottom w:val="0"/>
      <w:divBdr>
        <w:top w:val="none" w:sz="0" w:space="0" w:color="auto"/>
        <w:left w:val="none" w:sz="0" w:space="0" w:color="auto"/>
        <w:bottom w:val="none" w:sz="0" w:space="0" w:color="auto"/>
        <w:right w:val="none" w:sz="0" w:space="0" w:color="auto"/>
      </w:divBdr>
      <w:divsChild>
        <w:div w:id="6457259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877276527">
      <w:bodyDiv w:val="1"/>
      <w:marLeft w:val="0"/>
      <w:marRight w:val="0"/>
      <w:marTop w:val="0"/>
      <w:marBottom w:val="0"/>
      <w:divBdr>
        <w:top w:val="none" w:sz="0" w:space="0" w:color="auto"/>
        <w:left w:val="none" w:sz="0" w:space="0" w:color="auto"/>
        <w:bottom w:val="none" w:sz="0" w:space="0" w:color="auto"/>
        <w:right w:val="none" w:sz="0" w:space="0" w:color="auto"/>
      </w:divBdr>
    </w:div>
    <w:div w:id="903372030">
      <w:bodyDiv w:val="1"/>
      <w:marLeft w:val="0"/>
      <w:marRight w:val="0"/>
      <w:marTop w:val="0"/>
      <w:marBottom w:val="0"/>
      <w:divBdr>
        <w:top w:val="none" w:sz="0" w:space="0" w:color="auto"/>
        <w:left w:val="none" w:sz="0" w:space="0" w:color="auto"/>
        <w:bottom w:val="none" w:sz="0" w:space="0" w:color="auto"/>
        <w:right w:val="none" w:sz="0" w:space="0" w:color="auto"/>
      </w:divBdr>
    </w:div>
    <w:div w:id="921449180">
      <w:bodyDiv w:val="1"/>
      <w:marLeft w:val="0"/>
      <w:marRight w:val="0"/>
      <w:marTop w:val="0"/>
      <w:marBottom w:val="0"/>
      <w:divBdr>
        <w:top w:val="none" w:sz="0" w:space="0" w:color="auto"/>
        <w:left w:val="none" w:sz="0" w:space="0" w:color="auto"/>
        <w:bottom w:val="none" w:sz="0" w:space="0" w:color="auto"/>
        <w:right w:val="none" w:sz="0" w:space="0" w:color="auto"/>
      </w:divBdr>
    </w:div>
    <w:div w:id="929460975">
      <w:bodyDiv w:val="1"/>
      <w:marLeft w:val="0"/>
      <w:marRight w:val="0"/>
      <w:marTop w:val="0"/>
      <w:marBottom w:val="0"/>
      <w:divBdr>
        <w:top w:val="none" w:sz="0" w:space="0" w:color="auto"/>
        <w:left w:val="none" w:sz="0" w:space="0" w:color="auto"/>
        <w:bottom w:val="none" w:sz="0" w:space="0" w:color="auto"/>
        <w:right w:val="none" w:sz="0" w:space="0" w:color="auto"/>
      </w:divBdr>
    </w:div>
    <w:div w:id="945695527">
      <w:bodyDiv w:val="1"/>
      <w:marLeft w:val="0"/>
      <w:marRight w:val="0"/>
      <w:marTop w:val="0"/>
      <w:marBottom w:val="0"/>
      <w:divBdr>
        <w:top w:val="none" w:sz="0" w:space="0" w:color="auto"/>
        <w:left w:val="none" w:sz="0" w:space="0" w:color="auto"/>
        <w:bottom w:val="none" w:sz="0" w:space="0" w:color="auto"/>
        <w:right w:val="none" w:sz="0" w:space="0" w:color="auto"/>
      </w:divBdr>
    </w:div>
    <w:div w:id="952442242">
      <w:bodyDiv w:val="1"/>
      <w:marLeft w:val="0"/>
      <w:marRight w:val="0"/>
      <w:marTop w:val="0"/>
      <w:marBottom w:val="0"/>
      <w:divBdr>
        <w:top w:val="none" w:sz="0" w:space="0" w:color="auto"/>
        <w:left w:val="none" w:sz="0" w:space="0" w:color="auto"/>
        <w:bottom w:val="none" w:sz="0" w:space="0" w:color="auto"/>
        <w:right w:val="none" w:sz="0" w:space="0" w:color="auto"/>
      </w:divBdr>
    </w:div>
    <w:div w:id="962687474">
      <w:bodyDiv w:val="1"/>
      <w:marLeft w:val="0"/>
      <w:marRight w:val="0"/>
      <w:marTop w:val="0"/>
      <w:marBottom w:val="0"/>
      <w:divBdr>
        <w:top w:val="none" w:sz="0" w:space="0" w:color="auto"/>
        <w:left w:val="none" w:sz="0" w:space="0" w:color="auto"/>
        <w:bottom w:val="none" w:sz="0" w:space="0" w:color="auto"/>
        <w:right w:val="none" w:sz="0" w:space="0" w:color="auto"/>
      </w:divBdr>
    </w:div>
    <w:div w:id="1021391364">
      <w:bodyDiv w:val="1"/>
      <w:marLeft w:val="0"/>
      <w:marRight w:val="0"/>
      <w:marTop w:val="0"/>
      <w:marBottom w:val="0"/>
      <w:divBdr>
        <w:top w:val="none" w:sz="0" w:space="0" w:color="auto"/>
        <w:left w:val="none" w:sz="0" w:space="0" w:color="auto"/>
        <w:bottom w:val="none" w:sz="0" w:space="0" w:color="auto"/>
        <w:right w:val="none" w:sz="0" w:space="0" w:color="auto"/>
      </w:divBdr>
    </w:div>
    <w:div w:id="1022587121">
      <w:bodyDiv w:val="1"/>
      <w:marLeft w:val="0"/>
      <w:marRight w:val="0"/>
      <w:marTop w:val="0"/>
      <w:marBottom w:val="0"/>
      <w:divBdr>
        <w:top w:val="none" w:sz="0" w:space="0" w:color="auto"/>
        <w:left w:val="none" w:sz="0" w:space="0" w:color="auto"/>
        <w:bottom w:val="none" w:sz="0" w:space="0" w:color="auto"/>
        <w:right w:val="none" w:sz="0" w:space="0" w:color="auto"/>
      </w:divBdr>
      <w:divsChild>
        <w:div w:id="33333757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026104994">
      <w:bodyDiv w:val="1"/>
      <w:marLeft w:val="0"/>
      <w:marRight w:val="0"/>
      <w:marTop w:val="0"/>
      <w:marBottom w:val="0"/>
      <w:divBdr>
        <w:top w:val="none" w:sz="0" w:space="0" w:color="auto"/>
        <w:left w:val="none" w:sz="0" w:space="0" w:color="auto"/>
        <w:bottom w:val="none" w:sz="0" w:space="0" w:color="auto"/>
        <w:right w:val="none" w:sz="0" w:space="0" w:color="auto"/>
      </w:divBdr>
    </w:div>
    <w:div w:id="1042510979">
      <w:bodyDiv w:val="1"/>
      <w:marLeft w:val="0"/>
      <w:marRight w:val="0"/>
      <w:marTop w:val="0"/>
      <w:marBottom w:val="0"/>
      <w:divBdr>
        <w:top w:val="none" w:sz="0" w:space="0" w:color="auto"/>
        <w:left w:val="none" w:sz="0" w:space="0" w:color="auto"/>
        <w:bottom w:val="none" w:sz="0" w:space="0" w:color="auto"/>
        <w:right w:val="none" w:sz="0" w:space="0" w:color="auto"/>
      </w:divBdr>
    </w:div>
    <w:div w:id="1054159698">
      <w:bodyDiv w:val="1"/>
      <w:marLeft w:val="0"/>
      <w:marRight w:val="0"/>
      <w:marTop w:val="0"/>
      <w:marBottom w:val="0"/>
      <w:divBdr>
        <w:top w:val="none" w:sz="0" w:space="0" w:color="auto"/>
        <w:left w:val="none" w:sz="0" w:space="0" w:color="auto"/>
        <w:bottom w:val="none" w:sz="0" w:space="0" w:color="auto"/>
        <w:right w:val="none" w:sz="0" w:space="0" w:color="auto"/>
      </w:divBdr>
    </w:div>
    <w:div w:id="1058867366">
      <w:bodyDiv w:val="1"/>
      <w:marLeft w:val="0"/>
      <w:marRight w:val="0"/>
      <w:marTop w:val="0"/>
      <w:marBottom w:val="0"/>
      <w:divBdr>
        <w:top w:val="none" w:sz="0" w:space="0" w:color="auto"/>
        <w:left w:val="none" w:sz="0" w:space="0" w:color="auto"/>
        <w:bottom w:val="none" w:sz="0" w:space="0" w:color="auto"/>
        <w:right w:val="none" w:sz="0" w:space="0" w:color="auto"/>
      </w:divBdr>
    </w:div>
    <w:div w:id="1065837802">
      <w:bodyDiv w:val="1"/>
      <w:marLeft w:val="0"/>
      <w:marRight w:val="0"/>
      <w:marTop w:val="0"/>
      <w:marBottom w:val="0"/>
      <w:divBdr>
        <w:top w:val="none" w:sz="0" w:space="0" w:color="auto"/>
        <w:left w:val="none" w:sz="0" w:space="0" w:color="auto"/>
        <w:bottom w:val="none" w:sz="0" w:space="0" w:color="auto"/>
        <w:right w:val="none" w:sz="0" w:space="0" w:color="auto"/>
      </w:divBdr>
    </w:div>
    <w:div w:id="1069764030">
      <w:bodyDiv w:val="1"/>
      <w:marLeft w:val="0"/>
      <w:marRight w:val="0"/>
      <w:marTop w:val="0"/>
      <w:marBottom w:val="0"/>
      <w:divBdr>
        <w:top w:val="none" w:sz="0" w:space="0" w:color="auto"/>
        <w:left w:val="none" w:sz="0" w:space="0" w:color="auto"/>
        <w:bottom w:val="none" w:sz="0" w:space="0" w:color="auto"/>
        <w:right w:val="none" w:sz="0" w:space="0" w:color="auto"/>
      </w:divBdr>
    </w:div>
    <w:div w:id="1089618532">
      <w:bodyDiv w:val="1"/>
      <w:marLeft w:val="0"/>
      <w:marRight w:val="0"/>
      <w:marTop w:val="0"/>
      <w:marBottom w:val="0"/>
      <w:divBdr>
        <w:top w:val="none" w:sz="0" w:space="0" w:color="auto"/>
        <w:left w:val="none" w:sz="0" w:space="0" w:color="auto"/>
        <w:bottom w:val="none" w:sz="0" w:space="0" w:color="auto"/>
        <w:right w:val="none" w:sz="0" w:space="0" w:color="auto"/>
      </w:divBdr>
    </w:div>
    <w:div w:id="1101224572">
      <w:bodyDiv w:val="1"/>
      <w:marLeft w:val="0"/>
      <w:marRight w:val="0"/>
      <w:marTop w:val="0"/>
      <w:marBottom w:val="0"/>
      <w:divBdr>
        <w:top w:val="none" w:sz="0" w:space="0" w:color="auto"/>
        <w:left w:val="none" w:sz="0" w:space="0" w:color="auto"/>
        <w:bottom w:val="none" w:sz="0" w:space="0" w:color="auto"/>
        <w:right w:val="none" w:sz="0" w:space="0" w:color="auto"/>
      </w:divBdr>
    </w:div>
    <w:div w:id="1171801382">
      <w:bodyDiv w:val="1"/>
      <w:marLeft w:val="0"/>
      <w:marRight w:val="0"/>
      <w:marTop w:val="0"/>
      <w:marBottom w:val="0"/>
      <w:divBdr>
        <w:top w:val="none" w:sz="0" w:space="0" w:color="auto"/>
        <w:left w:val="none" w:sz="0" w:space="0" w:color="auto"/>
        <w:bottom w:val="none" w:sz="0" w:space="0" w:color="auto"/>
        <w:right w:val="none" w:sz="0" w:space="0" w:color="auto"/>
      </w:divBdr>
    </w:div>
    <w:div w:id="1185482054">
      <w:bodyDiv w:val="1"/>
      <w:marLeft w:val="0"/>
      <w:marRight w:val="0"/>
      <w:marTop w:val="0"/>
      <w:marBottom w:val="0"/>
      <w:divBdr>
        <w:top w:val="none" w:sz="0" w:space="0" w:color="auto"/>
        <w:left w:val="none" w:sz="0" w:space="0" w:color="auto"/>
        <w:bottom w:val="none" w:sz="0" w:space="0" w:color="auto"/>
        <w:right w:val="none" w:sz="0" w:space="0" w:color="auto"/>
      </w:divBdr>
      <w:divsChild>
        <w:div w:id="873228057">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85679544">
      <w:bodyDiv w:val="1"/>
      <w:marLeft w:val="0"/>
      <w:marRight w:val="0"/>
      <w:marTop w:val="0"/>
      <w:marBottom w:val="0"/>
      <w:divBdr>
        <w:top w:val="none" w:sz="0" w:space="0" w:color="auto"/>
        <w:left w:val="none" w:sz="0" w:space="0" w:color="auto"/>
        <w:bottom w:val="none" w:sz="0" w:space="0" w:color="auto"/>
        <w:right w:val="none" w:sz="0" w:space="0" w:color="auto"/>
      </w:divBdr>
    </w:div>
    <w:div w:id="1186023168">
      <w:bodyDiv w:val="1"/>
      <w:marLeft w:val="0"/>
      <w:marRight w:val="0"/>
      <w:marTop w:val="0"/>
      <w:marBottom w:val="0"/>
      <w:divBdr>
        <w:top w:val="none" w:sz="0" w:space="0" w:color="auto"/>
        <w:left w:val="none" w:sz="0" w:space="0" w:color="auto"/>
        <w:bottom w:val="none" w:sz="0" w:space="0" w:color="auto"/>
        <w:right w:val="none" w:sz="0" w:space="0" w:color="auto"/>
      </w:divBdr>
      <w:divsChild>
        <w:div w:id="81691458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197084705">
      <w:bodyDiv w:val="1"/>
      <w:marLeft w:val="0"/>
      <w:marRight w:val="0"/>
      <w:marTop w:val="0"/>
      <w:marBottom w:val="0"/>
      <w:divBdr>
        <w:top w:val="none" w:sz="0" w:space="0" w:color="auto"/>
        <w:left w:val="none" w:sz="0" w:space="0" w:color="auto"/>
        <w:bottom w:val="none" w:sz="0" w:space="0" w:color="auto"/>
        <w:right w:val="none" w:sz="0" w:space="0" w:color="auto"/>
      </w:divBdr>
    </w:div>
    <w:div w:id="1198741015">
      <w:bodyDiv w:val="1"/>
      <w:marLeft w:val="0"/>
      <w:marRight w:val="0"/>
      <w:marTop w:val="0"/>
      <w:marBottom w:val="0"/>
      <w:divBdr>
        <w:top w:val="none" w:sz="0" w:space="0" w:color="auto"/>
        <w:left w:val="none" w:sz="0" w:space="0" w:color="auto"/>
        <w:bottom w:val="none" w:sz="0" w:space="0" w:color="auto"/>
        <w:right w:val="none" w:sz="0" w:space="0" w:color="auto"/>
      </w:divBdr>
    </w:div>
    <w:div w:id="1202786839">
      <w:bodyDiv w:val="1"/>
      <w:marLeft w:val="0"/>
      <w:marRight w:val="0"/>
      <w:marTop w:val="0"/>
      <w:marBottom w:val="0"/>
      <w:divBdr>
        <w:top w:val="none" w:sz="0" w:space="0" w:color="auto"/>
        <w:left w:val="none" w:sz="0" w:space="0" w:color="auto"/>
        <w:bottom w:val="none" w:sz="0" w:space="0" w:color="auto"/>
        <w:right w:val="none" w:sz="0" w:space="0" w:color="auto"/>
      </w:divBdr>
    </w:div>
    <w:div w:id="1219590831">
      <w:bodyDiv w:val="1"/>
      <w:marLeft w:val="0"/>
      <w:marRight w:val="0"/>
      <w:marTop w:val="0"/>
      <w:marBottom w:val="0"/>
      <w:divBdr>
        <w:top w:val="none" w:sz="0" w:space="0" w:color="auto"/>
        <w:left w:val="none" w:sz="0" w:space="0" w:color="auto"/>
        <w:bottom w:val="none" w:sz="0" w:space="0" w:color="auto"/>
        <w:right w:val="none" w:sz="0" w:space="0" w:color="auto"/>
      </w:divBdr>
    </w:div>
    <w:div w:id="1222329605">
      <w:bodyDiv w:val="1"/>
      <w:marLeft w:val="0"/>
      <w:marRight w:val="0"/>
      <w:marTop w:val="0"/>
      <w:marBottom w:val="0"/>
      <w:divBdr>
        <w:top w:val="none" w:sz="0" w:space="0" w:color="auto"/>
        <w:left w:val="none" w:sz="0" w:space="0" w:color="auto"/>
        <w:bottom w:val="none" w:sz="0" w:space="0" w:color="auto"/>
        <w:right w:val="none" w:sz="0" w:space="0" w:color="auto"/>
      </w:divBdr>
    </w:div>
    <w:div w:id="1222402695">
      <w:bodyDiv w:val="1"/>
      <w:marLeft w:val="0"/>
      <w:marRight w:val="0"/>
      <w:marTop w:val="0"/>
      <w:marBottom w:val="0"/>
      <w:divBdr>
        <w:top w:val="none" w:sz="0" w:space="0" w:color="auto"/>
        <w:left w:val="none" w:sz="0" w:space="0" w:color="auto"/>
        <w:bottom w:val="none" w:sz="0" w:space="0" w:color="auto"/>
        <w:right w:val="none" w:sz="0" w:space="0" w:color="auto"/>
      </w:divBdr>
    </w:div>
    <w:div w:id="1230774373">
      <w:bodyDiv w:val="1"/>
      <w:marLeft w:val="0"/>
      <w:marRight w:val="0"/>
      <w:marTop w:val="0"/>
      <w:marBottom w:val="0"/>
      <w:divBdr>
        <w:top w:val="none" w:sz="0" w:space="0" w:color="auto"/>
        <w:left w:val="none" w:sz="0" w:space="0" w:color="auto"/>
        <w:bottom w:val="none" w:sz="0" w:space="0" w:color="auto"/>
        <w:right w:val="none" w:sz="0" w:space="0" w:color="auto"/>
      </w:divBdr>
    </w:div>
    <w:div w:id="1304770517">
      <w:bodyDiv w:val="1"/>
      <w:marLeft w:val="0"/>
      <w:marRight w:val="0"/>
      <w:marTop w:val="0"/>
      <w:marBottom w:val="0"/>
      <w:divBdr>
        <w:top w:val="none" w:sz="0" w:space="0" w:color="auto"/>
        <w:left w:val="none" w:sz="0" w:space="0" w:color="auto"/>
        <w:bottom w:val="none" w:sz="0" w:space="0" w:color="auto"/>
        <w:right w:val="none" w:sz="0" w:space="0" w:color="auto"/>
      </w:divBdr>
      <w:divsChild>
        <w:div w:id="107000774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312250626">
      <w:bodyDiv w:val="1"/>
      <w:marLeft w:val="0"/>
      <w:marRight w:val="0"/>
      <w:marTop w:val="0"/>
      <w:marBottom w:val="0"/>
      <w:divBdr>
        <w:top w:val="none" w:sz="0" w:space="0" w:color="auto"/>
        <w:left w:val="none" w:sz="0" w:space="0" w:color="auto"/>
        <w:bottom w:val="none" w:sz="0" w:space="0" w:color="auto"/>
        <w:right w:val="none" w:sz="0" w:space="0" w:color="auto"/>
      </w:divBdr>
    </w:div>
    <w:div w:id="1315793221">
      <w:bodyDiv w:val="1"/>
      <w:marLeft w:val="0"/>
      <w:marRight w:val="0"/>
      <w:marTop w:val="0"/>
      <w:marBottom w:val="0"/>
      <w:divBdr>
        <w:top w:val="none" w:sz="0" w:space="0" w:color="auto"/>
        <w:left w:val="none" w:sz="0" w:space="0" w:color="auto"/>
        <w:bottom w:val="none" w:sz="0" w:space="0" w:color="auto"/>
        <w:right w:val="none" w:sz="0" w:space="0" w:color="auto"/>
      </w:divBdr>
      <w:divsChild>
        <w:div w:id="556209092">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328707604">
      <w:bodyDiv w:val="1"/>
      <w:marLeft w:val="0"/>
      <w:marRight w:val="0"/>
      <w:marTop w:val="0"/>
      <w:marBottom w:val="0"/>
      <w:divBdr>
        <w:top w:val="none" w:sz="0" w:space="0" w:color="auto"/>
        <w:left w:val="none" w:sz="0" w:space="0" w:color="auto"/>
        <w:bottom w:val="none" w:sz="0" w:space="0" w:color="auto"/>
        <w:right w:val="none" w:sz="0" w:space="0" w:color="auto"/>
      </w:divBdr>
    </w:div>
    <w:div w:id="1333797260">
      <w:bodyDiv w:val="1"/>
      <w:marLeft w:val="0"/>
      <w:marRight w:val="0"/>
      <w:marTop w:val="0"/>
      <w:marBottom w:val="0"/>
      <w:divBdr>
        <w:top w:val="none" w:sz="0" w:space="0" w:color="auto"/>
        <w:left w:val="none" w:sz="0" w:space="0" w:color="auto"/>
        <w:bottom w:val="none" w:sz="0" w:space="0" w:color="auto"/>
        <w:right w:val="none" w:sz="0" w:space="0" w:color="auto"/>
      </w:divBdr>
      <w:divsChild>
        <w:div w:id="31005942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347050640">
      <w:bodyDiv w:val="1"/>
      <w:marLeft w:val="0"/>
      <w:marRight w:val="0"/>
      <w:marTop w:val="0"/>
      <w:marBottom w:val="0"/>
      <w:divBdr>
        <w:top w:val="none" w:sz="0" w:space="0" w:color="auto"/>
        <w:left w:val="none" w:sz="0" w:space="0" w:color="auto"/>
        <w:bottom w:val="none" w:sz="0" w:space="0" w:color="auto"/>
        <w:right w:val="none" w:sz="0" w:space="0" w:color="auto"/>
      </w:divBdr>
    </w:div>
    <w:div w:id="1352412426">
      <w:bodyDiv w:val="1"/>
      <w:marLeft w:val="0"/>
      <w:marRight w:val="0"/>
      <w:marTop w:val="0"/>
      <w:marBottom w:val="0"/>
      <w:divBdr>
        <w:top w:val="none" w:sz="0" w:space="0" w:color="auto"/>
        <w:left w:val="none" w:sz="0" w:space="0" w:color="auto"/>
        <w:bottom w:val="none" w:sz="0" w:space="0" w:color="auto"/>
        <w:right w:val="none" w:sz="0" w:space="0" w:color="auto"/>
      </w:divBdr>
      <w:divsChild>
        <w:div w:id="9141449">
          <w:marLeft w:val="0"/>
          <w:marRight w:val="0"/>
          <w:marTop w:val="0"/>
          <w:marBottom w:val="0"/>
          <w:divBdr>
            <w:top w:val="none" w:sz="0" w:space="0" w:color="auto"/>
            <w:left w:val="none" w:sz="0" w:space="0" w:color="auto"/>
            <w:bottom w:val="none" w:sz="0" w:space="0" w:color="auto"/>
            <w:right w:val="none" w:sz="0" w:space="0" w:color="auto"/>
          </w:divBdr>
        </w:div>
        <w:div w:id="99033362">
          <w:marLeft w:val="0"/>
          <w:marRight w:val="0"/>
          <w:marTop w:val="0"/>
          <w:marBottom w:val="0"/>
          <w:divBdr>
            <w:top w:val="none" w:sz="0" w:space="0" w:color="auto"/>
            <w:left w:val="none" w:sz="0" w:space="0" w:color="auto"/>
            <w:bottom w:val="none" w:sz="0" w:space="0" w:color="auto"/>
            <w:right w:val="none" w:sz="0" w:space="0" w:color="auto"/>
          </w:divBdr>
        </w:div>
        <w:div w:id="136185162">
          <w:marLeft w:val="0"/>
          <w:marRight w:val="0"/>
          <w:marTop w:val="0"/>
          <w:marBottom w:val="0"/>
          <w:divBdr>
            <w:top w:val="none" w:sz="0" w:space="0" w:color="auto"/>
            <w:left w:val="none" w:sz="0" w:space="0" w:color="auto"/>
            <w:bottom w:val="none" w:sz="0" w:space="0" w:color="auto"/>
            <w:right w:val="none" w:sz="0" w:space="0" w:color="auto"/>
          </w:divBdr>
        </w:div>
        <w:div w:id="172569308">
          <w:marLeft w:val="0"/>
          <w:marRight w:val="0"/>
          <w:marTop w:val="0"/>
          <w:marBottom w:val="0"/>
          <w:divBdr>
            <w:top w:val="none" w:sz="0" w:space="0" w:color="auto"/>
            <w:left w:val="none" w:sz="0" w:space="0" w:color="auto"/>
            <w:bottom w:val="none" w:sz="0" w:space="0" w:color="auto"/>
            <w:right w:val="none" w:sz="0" w:space="0" w:color="auto"/>
          </w:divBdr>
        </w:div>
        <w:div w:id="261376047">
          <w:marLeft w:val="0"/>
          <w:marRight w:val="0"/>
          <w:marTop w:val="0"/>
          <w:marBottom w:val="0"/>
          <w:divBdr>
            <w:top w:val="none" w:sz="0" w:space="0" w:color="auto"/>
            <w:left w:val="none" w:sz="0" w:space="0" w:color="auto"/>
            <w:bottom w:val="none" w:sz="0" w:space="0" w:color="auto"/>
            <w:right w:val="none" w:sz="0" w:space="0" w:color="auto"/>
          </w:divBdr>
        </w:div>
        <w:div w:id="264702295">
          <w:marLeft w:val="0"/>
          <w:marRight w:val="0"/>
          <w:marTop w:val="0"/>
          <w:marBottom w:val="0"/>
          <w:divBdr>
            <w:top w:val="none" w:sz="0" w:space="0" w:color="auto"/>
            <w:left w:val="none" w:sz="0" w:space="0" w:color="auto"/>
            <w:bottom w:val="none" w:sz="0" w:space="0" w:color="auto"/>
            <w:right w:val="none" w:sz="0" w:space="0" w:color="auto"/>
          </w:divBdr>
        </w:div>
        <w:div w:id="292444323">
          <w:marLeft w:val="0"/>
          <w:marRight w:val="0"/>
          <w:marTop w:val="0"/>
          <w:marBottom w:val="0"/>
          <w:divBdr>
            <w:top w:val="none" w:sz="0" w:space="0" w:color="auto"/>
            <w:left w:val="none" w:sz="0" w:space="0" w:color="auto"/>
            <w:bottom w:val="none" w:sz="0" w:space="0" w:color="auto"/>
            <w:right w:val="none" w:sz="0" w:space="0" w:color="auto"/>
          </w:divBdr>
        </w:div>
        <w:div w:id="313726074">
          <w:marLeft w:val="0"/>
          <w:marRight w:val="0"/>
          <w:marTop w:val="0"/>
          <w:marBottom w:val="0"/>
          <w:divBdr>
            <w:top w:val="none" w:sz="0" w:space="0" w:color="auto"/>
            <w:left w:val="none" w:sz="0" w:space="0" w:color="auto"/>
            <w:bottom w:val="none" w:sz="0" w:space="0" w:color="auto"/>
            <w:right w:val="none" w:sz="0" w:space="0" w:color="auto"/>
          </w:divBdr>
        </w:div>
        <w:div w:id="333001058">
          <w:marLeft w:val="0"/>
          <w:marRight w:val="0"/>
          <w:marTop w:val="0"/>
          <w:marBottom w:val="0"/>
          <w:divBdr>
            <w:top w:val="none" w:sz="0" w:space="0" w:color="auto"/>
            <w:left w:val="none" w:sz="0" w:space="0" w:color="auto"/>
            <w:bottom w:val="none" w:sz="0" w:space="0" w:color="auto"/>
            <w:right w:val="none" w:sz="0" w:space="0" w:color="auto"/>
          </w:divBdr>
        </w:div>
        <w:div w:id="472017298">
          <w:marLeft w:val="0"/>
          <w:marRight w:val="0"/>
          <w:marTop w:val="0"/>
          <w:marBottom w:val="0"/>
          <w:divBdr>
            <w:top w:val="none" w:sz="0" w:space="0" w:color="auto"/>
            <w:left w:val="none" w:sz="0" w:space="0" w:color="auto"/>
            <w:bottom w:val="none" w:sz="0" w:space="0" w:color="auto"/>
            <w:right w:val="none" w:sz="0" w:space="0" w:color="auto"/>
          </w:divBdr>
        </w:div>
        <w:div w:id="474296786">
          <w:marLeft w:val="0"/>
          <w:marRight w:val="0"/>
          <w:marTop w:val="0"/>
          <w:marBottom w:val="0"/>
          <w:divBdr>
            <w:top w:val="none" w:sz="0" w:space="0" w:color="auto"/>
            <w:left w:val="none" w:sz="0" w:space="0" w:color="auto"/>
            <w:bottom w:val="none" w:sz="0" w:space="0" w:color="auto"/>
            <w:right w:val="none" w:sz="0" w:space="0" w:color="auto"/>
          </w:divBdr>
        </w:div>
        <w:div w:id="491802271">
          <w:marLeft w:val="0"/>
          <w:marRight w:val="0"/>
          <w:marTop w:val="0"/>
          <w:marBottom w:val="0"/>
          <w:divBdr>
            <w:top w:val="none" w:sz="0" w:space="0" w:color="auto"/>
            <w:left w:val="none" w:sz="0" w:space="0" w:color="auto"/>
            <w:bottom w:val="none" w:sz="0" w:space="0" w:color="auto"/>
            <w:right w:val="none" w:sz="0" w:space="0" w:color="auto"/>
          </w:divBdr>
        </w:div>
        <w:div w:id="598948404">
          <w:marLeft w:val="0"/>
          <w:marRight w:val="0"/>
          <w:marTop w:val="0"/>
          <w:marBottom w:val="0"/>
          <w:divBdr>
            <w:top w:val="none" w:sz="0" w:space="0" w:color="auto"/>
            <w:left w:val="none" w:sz="0" w:space="0" w:color="auto"/>
            <w:bottom w:val="none" w:sz="0" w:space="0" w:color="auto"/>
            <w:right w:val="none" w:sz="0" w:space="0" w:color="auto"/>
          </w:divBdr>
        </w:div>
        <w:div w:id="620455296">
          <w:marLeft w:val="0"/>
          <w:marRight w:val="0"/>
          <w:marTop w:val="0"/>
          <w:marBottom w:val="0"/>
          <w:divBdr>
            <w:top w:val="none" w:sz="0" w:space="0" w:color="auto"/>
            <w:left w:val="none" w:sz="0" w:space="0" w:color="auto"/>
            <w:bottom w:val="none" w:sz="0" w:space="0" w:color="auto"/>
            <w:right w:val="none" w:sz="0" w:space="0" w:color="auto"/>
          </w:divBdr>
        </w:div>
        <w:div w:id="625232402">
          <w:marLeft w:val="0"/>
          <w:marRight w:val="0"/>
          <w:marTop w:val="0"/>
          <w:marBottom w:val="0"/>
          <w:divBdr>
            <w:top w:val="none" w:sz="0" w:space="0" w:color="auto"/>
            <w:left w:val="none" w:sz="0" w:space="0" w:color="auto"/>
            <w:bottom w:val="none" w:sz="0" w:space="0" w:color="auto"/>
            <w:right w:val="none" w:sz="0" w:space="0" w:color="auto"/>
          </w:divBdr>
        </w:div>
        <w:div w:id="685911637">
          <w:marLeft w:val="0"/>
          <w:marRight w:val="0"/>
          <w:marTop w:val="0"/>
          <w:marBottom w:val="0"/>
          <w:divBdr>
            <w:top w:val="none" w:sz="0" w:space="0" w:color="auto"/>
            <w:left w:val="none" w:sz="0" w:space="0" w:color="auto"/>
            <w:bottom w:val="none" w:sz="0" w:space="0" w:color="auto"/>
            <w:right w:val="none" w:sz="0" w:space="0" w:color="auto"/>
          </w:divBdr>
        </w:div>
        <w:div w:id="706301177">
          <w:marLeft w:val="0"/>
          <w:marRight w:val="0"/>
          <w:marTop w:val="0"/>
          <w:marBottom w:val="0"/>
          <w:divBdr>
            <w:top w:val="none" w:sz="0" w:space="0" w:color="auto"/>
            <w:left w:val="none" w:sz="0" w:space="0" w:color="auto"/>
            <w:bottom w:val="none" w:sz="0" w:space="0" w:color="auto"/>
            <w:right w:val="none" w:sz="0" w:space="0" w:color="auto"/>
          </w:divBdr>
        </w:div>
        <w:div w:id="728576982">
          <w:marLeft w:val="0"/>
          <w:marRight w:val="0"/>
          <w:marTop w:val="0"/>
          <w:marBottom w:val="0"/>
          <w:divBdr>
            <w:top w:val="none" w:sz="0" w:space="0" w:color="auto"/>
            <w:left w:val="none" w:sz="0" w:space="0" w:color="auto"/>
            <w:bottom w:val="none" w:sz="0" w:space="0" w:color="auto"/>
            <w:right w:val="none" w:sz="0" w:space="0" w:color="auto"/>
          </w:divBdr>
        </w:div>
        <w:div w:id="737829121">
          <w:marLeft w:val="0"/>
          <w:marRight w:val="0"/>
          <w:marTop w:val="0"/>
          <w:marBottom w:val="0"/>
          <w:divBdr>
            <w:top w:val="none" w:sz="0" w:space="0" w:color="auto"/>
            <w:left w:val="none" w:sz="0" w:space="0" w:color="auto"/>
            <w:bottom w:val="none" w:sz="0" w:space="0" w:color="auto"/>
            <w:right w:val="none" w:sz="0" w:space="0" w:color="auto"/>
          </w:divBdr>
        </w:div>
        <w:div w:id="819348641">
          <w:marLeft w:val="0"/>
          <w:marRight w:val="0"/>
          <w:marTop w:val="0"/>
          <w:marBottom w:val="0"/>
          <w:divBdr>
            <w:top w:val="none" w:sz="0" w:space="0" w:color="auto"/>
            <w:left w:val="none" w:sz="0" w:space="0" w:color="auto"/>
            <w:bottom w:val="none" w:sz="0" w:space="0" w:color="auto"/>
            <w:right w:val="none" w:sz="0" w:space="0" w:color="auto"/>
          </w:divBdr>
        </w:div>
        <w:div w:id="821891360">
          <w:marLeft w:val="0"/>
          <w:marRight w:val="0"/>
          <w:marTop w:val="0"/>
          <w:marBottom w:val="0"/>
          <w:divBdr>
            <w:top w:val="none" w:sz="0" w:space="0" w:color="auto"/>
            <w:left w:val="none" w:sz="0" w:space="0" w:color="auto"/>
            <w:bottom w:val="none" w:sz="0" w:space="0" w:color="auto"/>
            <w:right w:val="none" w:sz="0" w:space="0" w:color="auto"/>
          </w:divBdr>
        </w:div>
        <w:div w:id="842401876">
          <w:marLeft w:val="0"/>
          <w:marRight w:val="0"/>
          <w:marTop w:val="0"/>
          <w:marBottom w:val="0"/>
          <w:divBdr>
            <w:top w:val="none" w:sz="0" w:space="0" w:color="auto"/>
            <w:left w:val="none" w:sz="0" w:space="0" w:color="auto"/>
            <w:bottom w:val="none" w:sz="0" w:space="0" w:color="auto"/>
            <w:right w:val="none" w:sz="0" w:space="0" w:color="auto"/>
          </w:divBdr>
        </w:div>
        <w:div w:id="852762400">
          <w:marLeft w:val="0"/>
          <w:marRight w:val="0"/>
          <w:marTop w:val="0"/>
          <w:marBottom w:val="0"/>
          <w:divBdr>
            <w:top w:val="none" w:sz="0" w:space="0" w:color="auto"/>
            <w:left w:val="none" w:sz="0" w:space="0" w:color="auto"/>
            <w:bottom w:val="none" w:sz="0" w:space="0" w:color="auto"/>
            <w:right w:val="none" w:sz="0" w:space="0" w:color="auto"/>
          </w:divBdr>
        </w:div>
        <w:div w:id="925187454">
          <w:marLeft w:val="0"/>
          <w:marRight w:val="0"/>
          <w:marTop w:val="0"/>
          <w:marBottom w:val="0"/>
          <w:divBdr>
            <w:top w:val="none" w:sz="0" w:space="0" w:color="auto"/>
            <w:left w:val="none" w:sz="0" w:space="0" w:color="auto"/>
            <w:bottom w:val="none" w:sz="0" w:space="0" w:color="auto"/>
            <w:right w:val="none" w:sz="0" w:space="0" w:color="auto"/>
          </w:divBdr>
        </w:div>
        <w:div w:id="999504394">
          <w:marLeft w:val="0"/>
          <w:marRight w:val="0"/>
          <w:marTop w:val="0"/>
          <w:marBottom w:val="0"/>
          <w:divBdr>
            <w:top w:val="none" w:sz="0" w:space="0" w:color="auto"/>
            <w:left w:val="none" w:sz="0" w:space="0" w:color="auto"/>
            <w:bottom w:val="none" w:sz="0" w:space="0" w:color="auto"/>
            <w:right w:val="none" w:sz="0" w:space="0" w:color="auto"/>
          </w:divBdr>
        </w:div>
        <w:div w:id="1068462216">
          <w:marLeft w:val="0"/>
          <w:marRight w:val="0"/>
          <w:marTop w:val="0"/>
          <w:marBottom w:val="0"/>
          <w:divBdr>
            <w:top w:val="none" w:sz="0" w:space="0" w:color="auto"/>
            <w:left w:val="none" w:sz="0" w:space="0" w:color="auto"/>
            <w:bottom w:val="none" w:sz="0" w:space="0" w:color="auto"/>
            <w:right w:val="none" w:sz="0" w:space="0" w:color="auto"/>
          </w:divBdr>
        </w:div>
        <w:div w:id="1083726766">
          <w:marLeft w:val="0"/>
          <w:marRight w:val="0"/>
          <w:marTop w:val="0"/>
          <w:marBottom w:val="0"/>
          <w:divBdr>
            <w:top w:val="none" w:sz="0" w:space="0" w:color="auto"/>
            <w:left w:val="none" w:sz="0" w:space="0" w:color="auto"/>
            <w:bottom w:val="none" w:sz="0" w:space="0" w:color="auto"/>
            <w:right w:val="none" w:sz="0" w:space="0" w:color="auto"/>
          </w:divBdr>
        </w:div>
        <w:div w:id="1090781965">
          <w:marLeft w:val="0"/>
          <w:marRight w:val="0"/>
          <w:marTop w:val="0"/>
          <w:marBottom w:val="0"/>
          <w:divBdr>
            <w:top w:val="none" w:sz="0" w:space="0" w:color="auto"/>
            <w:left w:val="none" w:sz="0" w:space="0" w:color="auto"/>
            <w:bottom w:val="none" w:sz="0" w:space="0" w:color="auto"/>
            <w:right w:val="none" w:sz="0" w:space="0" w:color="auto"/>
          </w:divBdr>
        </w:div>
        <w:div w:id="1137263549">
          <w:marLeft w:val="0"/>
          <w:marRight w:val="0"/>
          <w:marTop w:val="0"/>
          <w:marBottom w:val="0"/>
          <w:divBdr>
            <w:top w:val="none" w:sz="0" w:space="0" w:color="auto"/>
            <w:left w:val="none" w:sz="0" w:space="0" w:color="auto"/>
            <w:bottom w:val="none" w:sz="0" w:space="0" w:color="auto"/>
            <w:right w:val="none" w:sz="0" w:space="0" w:color="auto"/>
          </w:divBdr>
        </w:div>
        <w:div w:id="1210261189">
          <w:marLeft w:val="0"/>
          <w:marRight w:val="0"/>
          <w:marTop w:val="0"/>
          <w:marBottom w:val="0"/>
          <w:divBdr>
            <w:top w:val="none" w:sz="0" w:space="0" w:color="auto"/>
            <w:left w:val="none" w:sz="0" w:space="0" w:color="auto"/>
            <w:bottom w:val="none" w:sz="0" w:space="0" w:color="auto"/>
            <w:right w:val="none" w:sz="0" w:space="0" w:color="auto"/>
          </w:divBdr>
        </w:div>
        <w:div w:id="1237740184">
          <w:marLeft w:val="0"/>
          <w:marRight w:val="0"/>
          <w:marTop w:val="0"/>
          <w:marBottom w:val="0"/>
          <w:divBdr>
            <w:top w:val="none" w:sz="0" w:space="0" w:color="auto"/>
            <w:left w:val="none" w:sz="0" w:space="0" w:color="auto"/>
            <w:bottom w:val="none" w:sz="0" w:space="0" w:color="auto"/>
            <w:right w:val="none" w:sz="0" w:space="0" w:color="auto"/>
          </w:divBdr>
        </w:div>
        <w:div w:id="1238203089">
          <w:marLeft w:val="0"/>
          <w:marRight w:val="0"/>
          <w:marTop w:val="0"/>
          <w:marBottom w:val="0"/>
          <w:divBdr>
            <w:top w:val="none" w:sz="0" w:space="0" w:color="auto"/>
            <w:left w:val="none" w:sz="0" w:space="0" w:color="auto"/>
            <w:bottom w:val="none" w:sz="0" w:space="0" w:color="auto"/>
            <w:right w:val="none" w:sz="0" w:space="0" w:color="auto"/>
          </w:divBdr>
        </w:div>
        <w:div w:id="1284000807">
          <w:marLeft w:val="0"/>
          <w:marRight w:val="0"/>
          <w:marTop w:val="0"/>
          <w:marBottom w:val="0"/>
          <w:divBdr>
            <w:top w:val="none" w:sz="0" w:space="0" w:color="auto"/>
            <w:left w:val="none" w:sz="0" w:space="0" w:color="auto"/>
            <w:bottom w:val="none" w:sz="0" w:space="0" w:color="auto"/>
            <w:right w:val="none" w:sz="0" w:space="0" w:color="auto"/>
          </w:divBdr>
        </w:div>
        <w:div w:id="1291281414">
          <w:marLeft w:val="0"/>
          <w:marRight w:val="0"/>
          <w:marTop w:val="0"/>
          <w:marBottom w:val="0"/>
          <w:divBdr>
            <w:top w:val="none" w:sz="0" w:space="0" w:color="auto"/>
            <w:left w:val="none" w:sz="0" w:space="0" w:color="auto"/>
            <w:bottom w:val="none" w:sz="0" w:space="0" w:color="auto"/>
            <w:right w:val="none" w:sz="0" w:space="0" w:color="auto"/>
          </w:divBdr>
        </w:div>
        <w:div w:id="1317612753">
          <w:marLeft w:val="0"/>
          <w:marRight w:val="0"/>
          <w:marTop w:val="0"/>
          <w:marBottom w:val="0"/>
          <w:divBdr>
            <w:top w:val="none" w:sz="0" w:space="0" w:color="auto"/>
            <w:left w:val="none" w:sz="0" w:space="0" w:color="auto"/>
            <w:bottom w:val="none" w:sz="0" w:space="0" w:color="auto"/>
            <w:right w:val="none" w:sz="0" w:space="0" w:color="auto"/>
          </w:divBdr>
        </w:div>
        <w:div w:id="1428385324">
          <w:marLeft w:val="0"/>
          <w:marRight w:val="0"/>
          <w:marTop w:val="0"/>
          <w:marBottom w:val="0"/>
          <w:divBdr>
            <w:top w:val="none" w:sz="0" w:space="0" w:color="auto"/>
            <w:left w:val="none" w:sz="0" w:space="0" w:color="auto"/>
            <w:bottom w:val="none" w:sz="0" w:space="0" w:color="auto"/>
            <w:right w:val="none" w:sz="0" w:space="0" w:color="auto"/>
          </w:divBdr>
        </w:div>
        <w:div w:id="1479684572">
          <w:marLeft w:val="0"/>
          <w:marRight w:val="0"/>
          <w:marTop w:val="0"/>
          <w:marBottom w:val="0"/>
          <w:divBdr>
            <w:top w:val="none" w:sz="0" w:space="0" w:color="auto"/>
            <w:left w:val="none" w:sz="0" w:space="0" w:color="auto"/>
            <w:bottom w:val="none" w:sz="0" w:space="0" w:color="auto"/>
            <w:right w:val="none" w:sz="0" w:space="0" w:color="auto"/>
          </w:divBdr>
        </w:div>
        <w:div w:id="1528180618">
          <w:marLeft w:val="0"/>
          <w:marRight w:val="0"/>
          <w:marTop w:val="0"/>
          <w:marBottom w:val="0"/>
          <w:divBdr>
            <w:top w:val="none" w:sz="0" w:space="0" w:color="auto"/>
            <w:left w:val="none" w:sz="0" w:space="0" w:color="auto"/>
            <w:bottom w:val="none" w:sz="0" w:space="0" w:color="auto"/>
            <w:right w:val="none" w:sz="0" w:space="0" w:color="auto"/>
          </w:divBdr>
        </w:div>
        <w:div w:id="1573855966">
          <w:marLeft w:val="0"/>
          <w:marRight w:val="0"/>
          <w:marTop w:val="0"/>
          <w:marBottom w:val="0"/>
          <w:divBdr>
            <w:top w:val="none" w:sz="0" w:space="0" w:color="auto"/>
            <w:left w:val="none" w:sz="0" w:space="0" w:color="auto"/>
            <w:bottom w:val="none" w:sz="0" w:space="0" w:color="auto"/>
            <w:right w:val="none" w:sz="0" w:space="0" w:color="auto"/>
          </w:divBdr>
        </w:div>
        <w:div w:id="1603150232">
          <w:marLeft w:val="0"/>
          <w:marRight w:val="0"/>
          <w:marTop w:val="0"/>
          <w:marBottom w:val="0"/>
          <w:divBdr>
            <w:top w:val="none" w:sz="0" w:space="0" w:color="auto"/>
            <w:left w:val="none" w:sz="0" w:space="0" w:color="auto"/>
            <w:bottom w:val="none" w:sz="0" w:space="0" w:color="auto"/>
            <w:right w:val="none" w:sz="0" w:space="0" w:color="auto"/>
          </w:divBdr>
        </w:div>
        <w:div w:id="1670133595">
          <w:marLeft w:val="0"/>
          <w:marRight w:val="0"/>
          <w:marTop w:val="0"/>
          <w:marBottom w:val="0"/>
          <w:divBdr>
            <w:top w:val="none" w:sz="0" w:space="0" w:color="auto"/>
            <w:left w:val="none" w:sz="0" w:space="0" w:color="auto"/>
            <w:bottom w:val="none" w:sz="0" w:space="0" w:color="auto"/>
            <w:right w:val="none" w:sz="0" w:space="0" w:color="auto"/>
          </w:divBdr>
        </w:div>
        <w:div w:id="1876578020">
          <w:marLeft w:val="0"/>
          <w:marRight w:val="0"/>
          <w:marTop w:val="0"/>
          <w:marBottom w:val="0"/>
          <w:divBdr>
            <w:top w:val="none" w:sz="0" w:space="0" w:color="auto"/>
            <w:left w:val="none" w:sz="0" w:space="0" w:color="auto"/>
            <w:bottom w:val="none" w:sz="0" w:space="0" w:color="auto"/>
            <w:right w:val="none" w:sz="0" w:space="0" w:color="auto"/>
          </w:divBdr>
        </w:div>
        <w:div w:id="1903326934">
          <w:marLeft w:val="0"/>
          <w:marRight w:val="0"/>
          <w:marTop w:val="0"/>
          <w:marBottom w:val="0"/>
          <w:divBdr>
            <w:top w:val="none" w:sz="0" w:space="0" w:color="auto"/>
            <w:left w:val="none" w:sz="0" w:space="0" w:color="auto"/>
            <w:bottom w:val="none" w:sz="0" w:space="0" w:color="auto"/>
            <w:right w:val="none" w:sz="0" w:space="0" w:color="auto"/>
          </w:divBdr>
        </w:div>
        <w:div w:id="1947348006">
          <w:marLeft w:val="0"/>
          <w:marRight w:val="0"/>
          <w:marTop w:val="0"/>
          <w:marBottom w:val="0"/>
          <w:divBdr>
            <w:top w:val="none" w:sz="0" w:space="0" w:color="auto"/>
            <w:left w:val="none" w:sz="0" w:space="0" w:color="auto"/>
            <w:bottom w:val="none" w:sz="0" w:space="0" w:color="auto"/>
            <w:right w:val="none" w:sz="0" w:space="0" w:color="auto"/>
          </w:divBdr>
        </w:div>
        <w:div w:id="2052731374">
          <w:marLeft w:val="0"/>
          <w:marRight w:val="0"/>
          <w:marTop w:val="0"/>
          <w:marBottom w:val="0"/>
          <w:divBdr>
            <w:top w:val="none" w:sz="0" w:space="0" w:color="auto"/>
            <w:left w:val="none" w:sz="0" w:space="0" w:color="auto"/>
            <w:bottom w:val="none" w:sz="0" w:space="0" w:color="auto"/>
            <w:right w:val="none" w:sz="0" w:space="0" w:color="auto"/>
          </w:divBdr>
        </w:div>
        <w:div w:id="2059546916">
          <w:marLeft w:val="0"/>
          <w:marRight w:val="0"/>
          <w:marTop w:val="0"/>
          <w:marBottom w:val="0"/>
          <w:divBdr>
            <w:top w:val="none" w:sz="0" w:space="0" w:color="auto"/>
            <w:left w:val="none" w:sz="0" w:space="0" w:color="auto"/>
            <w:bottom w:val="none" w:sz="0" w:space="0" w:color="auto"/>
            <w:right w:val="none" w:sz="0" w:space="0" w:color="auto"/>
          </w:divBdr>
        </w:div>
        <w:div w:id="2093816451">
          <w:marLeft w:val="0"/>
          <w:marRight w:val="0"/>
          <w:marTop w:val="0"/>
          <w:marBottom w:val="0"/>
          <w:divBdr>
            <w:top w:val="none" w:sz="0" w:space="0" w:color="auto"/>
            <w:left w:val="none" w:sz="0" w:space="0" w:color="auto"/>
            <w:bottom w:val="none" w:sz="0" w:space="0" w:color="auto"/>
            <w:right w:val="none" w:sz="0" w:space="0" w:color="auto"/>
          </w:divBdr>
        </w:div>
        <w:div w:id="2103184473">
          <w:marLeft w:val="0"/>
          <w:marRight w:val="0"/>
          <w:marTop w:val="0"/>
          <w:marBottom w:val="0"/>
          <w:divBdr>
            <w:top w:val="none" w:sz="0" w:space="0" w:color="auto"/>
            <w:left w:val="none" w:sz="0" w:space="0" w:color="auto"/>
            <w:bottom w:val="none" w:sz="0" w:space="0" w:color="auto"/>
            <w:right w:val="none" w:sz="0" w:space="0" w:color="auto"/>
          </w:divBdr>
        </w:div>
        <w:div w:id="2104493592">
          <w:marLeft w:val="0"/>
          <w:marRight w:val="0"/>
          <w:marTop w:val="0"/>
          <w:marBottom w:val="0"/>
          <w:divBdr>
            <w:top w:val="none" w:sz="0" w:space="0" w:color="auto"/>
            <w:left w:val="none" w:sz="0" w:space="0" w:color="auto"/>
            <w:bottom w:val="none" w:sz="0" w:space="0" w:color="auto"/>
            <w:right w:val="none" w:sz="0" w:space="0" w:color="auto"/>
          </w:divBdr>
        </w:div>
        <w:div w:id="2114280484">
          <w:marLeft w:val="0"/>
          <w:marRight w:val="0"/>
          <w:marTop w:val="0"/>
          <w:marBottom w:val="0"/>
          <w:divBdr>
            <w:top w:val="none" w:sz="0" w:space="0" w:color="auto"/>
            <w:left w:val="none" w:sz="0" w:space="0" w:color="auto"/>
            <w:bottom w:val="none" w:sz="0" w:space="0" w:color="auto"/>
            <w:right w:val="none" w:sz="0" w:space="0" w:color="auto"/>
          </w:divBdr>
        </w:div>
        <w:div w:id="2141994096">
          <w:marLeft w:val="0"/>
          <w:marRight w:val="0"/>
          <w:marTop w:val="0"/>
          <w:marBottom w:val="0"/>
          <w:divBdr>
            <w:top w:val="none" w:sz="0" w:space="0" w:color="auto"/>
            <w:left w:val="none" w:sz="0" w:space="0" w:color="auto"/>
            <w:bottom w:val="none" w:sz="0" w:space="0" w:color="auto"/>
            <w:right w:val="none" w:sz="0" w:space="0" w:color="auto"/>
          </w:divBdr>
        </w:div>
      </w:divsChild>
    </w:div>
    <w:div w:id="1357273495">
      <w:bodyDiv w:val="1"/>
      <w:marLeft w:val="0"/>
      <w:marRight w:val="0"/>
      <w:marTop w:val="0"/>
      <w:marBottom w:val="0"/>
      <w:divBdr>
        <w:top w:val="none" w:sz="0" w:space="0" w:color="auto"/>
        <w:left w:val="none" w:sz="0" w:space="0" w:color="auto"/>
        <w:bottom w:val="none" w:sz="0" w:space="0" w:color="auto"/>
        <w:right w:val="none" w:sz="0" w:space="0" w:color="auto"/>
      </w:divBdr>
    </w:div>
    <w:div w:id="1360355259">
      <w:bodyDiv w:val="1"/>
      <w:marLeft w:val="0"/>
      <w:marRight w:val="0"/>
      <w:marTop w:val="0"/>
      <w:marBottom w:val="0"/>
      <w:divBdr>
        <w:top w:val="none" w:sz="0" w:space="0" w:color="auto"/>
        <w:left w:val="none" w:sz="0" w:space="0" w:color="auto"/>
        <w:bottom w:val="none" w:sz="0" w:space="0" w:color="auto"/>
        <w:right w:val="none" w:sz="0" w:space="0" w:color="auto"/>
      </w:divBdr>
    </w:div>
    <w:div w:id="1378627736">
      <w:bodyDiv w:val="1"/>
      <w:marLeft w:val="0"/>
      <w:marRight w:val="0"/>
      <w:marTop w:val="0"/>
      <w:marBottom w:val="0"/>
      <w:divBdr>
        <w:top w:val="none" w:sz="0" w:space="0" w:color="auto"/>
        <w:left w:val="none" w:sz="0" w:space="0" w:color="auto"/>
        <w:bottom w:val="none" w:sz="0" w:space="0" w:color="auto"/>
        <w:right w:val="none" w:sz="0" w:space="0" w:color="auto"/>
      </w:divBdr>
    </w:div>
    <w:div w:id="1400900116">
      <w:bodyDiv w:val="1"/>
      <w:marLeft w:val="0"/>
      <w:marRight w:val="0"/>
      <w:marTop w:val="0"/>
      <w:marBottom w:val="0"/>
      <w:divBdr>
        <w:top w:val="none" w:sz="0" w:space="0" w:color="auto"/>
        <w:left w:val="none" w:sz="0" w:space="0" w:color="auto"/>
        <w:bottom w:val="none" w:sz="0" w:space="0" w:color="auto"/>
        <w:right w:val="none" w:sz="0" w:space="0" w:color="auto"/>
      </w:divBdr>
    </w:div>
    <w:div w:id="1403944177">
      <w:bodyDiv w:val="1"/>
      <w:marLeft w:val="0"/>
      <w:marRight w:val="0"/>
      <w:marTop w:val="0"/>
      <w:marBottom w:val="0"/>
      <w:divBdr>
        <w:top w:val="none" w:sz="0" w:space="0" w:color="auto"/>
        <w:left w:val="none" w:sz="0" w:space="0" w:color="auto"/>
        <w:bottom w:val="none" w:sz="0" w:space="0" w:color="auto"/>
        <w:right w:val="none" w:sz="0" w:space="0" w:color="auto"/>
      </w:divBdr>
    </w:div>
    <w:div w:id="1415711592">
      <w:bodyDiv w:val="1"/>
      <w:marLeft w:val="0"/>
      <w:marRight w:val="0"/>
      <w:marTop w:val="0"/>
      <w:marBottom w:val="0"/>
      <w:divBdr>
        <w:top w:val="none" w:sz="0" w:space="0" w:color="auto"/>
        <w:left w:val="none" w:sz="0" w:space="0" w:color="auto"/>
        <w:bottom w:val="none" w:sz="0" w:space="0" w:color="auto"/>
        <w:right w:val="none" w:sz="0" w:space="0" w:color="auto"/>
      </w:divBdr>
    </w:div>
    <w:div w:id="1425110861">
      <w:bodyDiv w:val="1"/>
      <w:marLeft w:val="0"/>
      <w:marRight w:val="0"/>
      <w:marTop w:val="0"/>
      <w:marBottom w:val="0"/>
      <w:divBdr>
        <w:top w:val="none" w:sz="0" w:space="0" w:color="auto"/>
        <w:left w:val="none" w:sz="0" w:space="0" w:color="auto"/>
        <w:bottom w:val="none" w:sz="0" w:space="0" w:color="auto"/>
        <w:right w:val="none" w:sz="0" w:space="0" w:color="auto"/>
      </w:divBdr>
    </w:div>
    <w:div w:id="1433090515">
      <w:bodyDiv w:val="1"/>
      <w:marLeft w:val="0"/>
      <w:marRight w:val="0"/>
      <w:marTop w:val="0"/>
      <w:marBottom w:val="0"/>
      <w:divBdr>
        <w:top w:val="none" w:sz="0" w:space="0" w:color="auto"/>
        <w:left w:val="none" w:sz="0" w:space="0" w:color="auto"/>
        <w:bottom w:val="none" w:sz="0" w:space="0" w:color="auto"/>
        <w:right w:val="none" w:sz="0" w:space="0" w:color="auto"/>
      </w:divBdr>
    </w:div>
    <w:div w:id="1447189315">
      <w:bodyDiv w:val="1"/>
      <w:marLeft w:val="0"/>
      <w:marRight w:val="0"/>
      <w:marTop w:val="0"/>
      <w:marBottom w:val="0"/>
      <w:divBdr>
        <w:top w:val="none" w:sz="0" w:space="0" w:color="auto"/>
        <w:left w:val="none" w:sz="0" w:space="0" w:color="auto"/>
        <w:bottom w:val="none" w:sz="0" w:space="0" w:color="auto"/>
        <w:right w:val="none" w:sz="0" w:space="0" w:color="auto"/>
      </w:divBdr>
    </w:div>
    <w:div w:id="1450785277">
      <w:bodyDiv w:val="1"/>
      <w:marLeft w:val="0"/>
      <w:marRight w:val="0"/>
      <w:marTop w:val="0"/>
      <w:marBottom w:val="0"/>
      <w:divBdr>
        <w:top w:val="none" w:sz="0" w:space="0" w:color="auto"/>
        <w:left w:val="none" w:sz="0" w:space="0" w:color="auto"/>
        <w:bottom w:val="none" w:sz="0" w:space="0" w:color="auto"/>
        <w:right w:val="none" w:sz="0" w:space="0" w:color="auto"/>
      </w:divBdr>
      <w:divsChild>
        <w:div w:id="1541942304">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452868521">
      <w:bodyDiv w:val="1"/>
      <w:marLeft w:val="0"/>
      <w:marRight w:val="0"/>
      <w:marTop w:val="0"/>
      <w:marBottom w:val="0"/>
      <w:divBdr>
        <w:top w:val="none" w:sz="0" w:space="0" w:color="auto"/>
        <w:left w:val="none" w:sz="0" w:space="0" w:color="auto"/>
        <w:bottom w:val="none" w:sz="0" w:space="0" w:color="auto"/>
        <w:right w:val="none" w:sz="0" w:space="0" w:color="auto"/>
      </w:divBdr>
    </w:div>
    <w:div w:id="1455489878">
      <w:bodyDiv w:val="1"/>
      <w:marLeft w:val="0"/>
      <w:marRight w:val="0"/>
      <w:marTop w:val="0"/>
      <w:marBottom w:val="0"/>
      <w:divBdr>
        <w:top w:val="none" w:sz="0" w:space="0" w:color="auto"/>
        <w:left w:val="none" w:sz="0" w:space="0" w:color="auto"/>
        <w:bottom w:val="none" w:sz="0" w:space="0" w:color="auto"/>
        <w:right w:val="none" w:sz="0" w:space="0" w:color="auto"/>
      </w:divBdr>
    </w:div>
    <w:div w:id="1457597698">
      <w:bodyDiv w:val="1"/>
      <w:marLeft w:val="0"/>
      <w:marRight w:val="0"/>
      <w:marTop w:val="0"/>
      <w:marBottom w:val="0"/>
      <w:divBdr>
        <w:top w:val="none" w:sz="0" w:space="0" w:color="auto"/>
        <w:left w:val="none" w:sz="0" w:space="0" w:color="auto"/>
        <w:bottom w:val="none" w:sz="0" w:space="0" w:color="auto"/>
        <w:right w:val="none" w:sz="0" w:space="0" w:color="auto"/>
      </w:divBdr>
    </w:div>
    <w:div w:id="1496798575">
      <w:bodyDiv w:val="1"/>
      <w:marLeft w:val="0"/>
      <w:marRight w:val="0"/>
      <w:marTop w:val="0"/>
      <w:marBottom w:val="0"/>
      <w:divBdr>
        <w:top w:val="none" w:sz="0" w:space="0" w:color="auto"/>
        <w:left w:val="none" w:sz="0" w:space="0" w:color="auto"/>
        <w:bottom w:val="none" w:sz="0" w:space="0" w:color="auto"/>
        <w:right w:val="none" w:sz="0" w:space="0" w:color="auto"/>
      </w:divBdr>
    </w:div>
    <w:div w:id="1530755770">
      <w:bodyDiv w:val="1"/>
      <w:marLeft w:val="0"/>
      <w:marRight w:val="0"/>
      <w:marTop w:val="0"/>
      <w:marBottom w:val="0"/>
      <w:divBdr>
        <w:top w:val="none" w:sz="0" w:space="0" w:color="auto"/>
        <w:left w:val="none" w:sz="0" w:space="0" w:color="auto"/>
        <w:bottom w:val="none" w:sz="0" w:space="0" w:color="auto"/>
        <w:right w:val="none" w:sz="0" w:space="0" w:color="auto"/>
      </w:divBdr>
    </w:div>
    <w:div w:id="1533882448">
      <w:bodyDiv w:val="1"/>
      <w:marLeft w:val="0"/>
      <w:marRight w:val="0"/>
      <w:marTop w:val="0"/>
      <w:marBottom w:val="0"/>
      <w:divBdr>
        <w:top w:val="none" w:sz="0" w:space="0" w:color="auto"/>
        <w:left w:val="none" w:sz="0" w:space="0" w:color="auto"/>
        <w:bottom w:val="none" w:sz="0" w:space="0" w:color="auto"/>
        <w:right w:val="none" w:sz="0" w:space="0" w:color="auto"/>
      </w:divBdr>
    </w:div>
    <w:div w:id="1540630449">
      <w:bodyDiv w:val="1"/>
      <w:marLeft w:val="0"/>
      <w:marRight w:val="0"/>
      <w:marTop w:val="0"/>
      <w:marBottom w:val="0"/>
      <w:divBdr>
        <w:top w:val="none" w:sz="0" w:space="0" w:color="auto"/>
        <w:left w:val="none" w:sz="0" w:space="0" w:color="auto"/>
        <w:bottom w:val="none" w:sz="0" w:space="0" w:color="auto"/>
        <w:right w:val="none" w:sz="0" w:space="0" w:color="auto"/>
      </w:divBdr>
    </w:div>
    <w:div w:id="1542552228">
      <w:bodyDiv w:val="1"/>
      <w:marLeft w:val="0"/>
      <w:marRight w:val="0"/>
      <w:marTop w:val="0"/>
      <w:marBottom w:val="0"/>
      <w:divBdr>
        <w:top w:val="none" w:sz="0" w:space="0" w:color="auto"/>
        <w:left w:val="none" w:sz="0" w:space="0" w:color="auto"/>
        <w:bottom w:val="none" w:sz="0" w:space="0" w:color="auto"/>
        <w:right w:val="none" w:sz="0" w:space="0" w:color="auto"/>
      </w:divBdr>
    </w:div>
    <w:div w:id="1551070177">
      <w:bodyDiv w:val="1"/>
      <w:marLeft w:val="0"/>
      <w:marRight w:val="0"/>
      <w:marTop w:val="0"/>
      <w:marBottom w:val="0"/>
      <w:divBdr>
        <w:top w:val="none" w:sz="0" w:space="0" w:color="auto"/>
        <w:left w:val="none" w:sz="0" w:space="0" w:color="auto"/>
        <w:bottom w:val="none" w:sz="0" w:space="0" w:color="auto"/>
        <w:right w:val="none" w:sz="0" w:space="0" w:color="auto"/>
      </w:divBdr>
    </w:div>
    <w:div w:id="1552427075">
      <w:bodyDiv w:val="1"/>
      <w:marLeft w:val="0"/>
      <w:marRight w:val="0"/>
      <w:marTop w:val="0"/>
      <w:marBottom w:val="0"/>
      <w:divBdr>
        <w:top w:val="none" w:sz="0" w:space="0" w:color="auto"/>
        <w:left w:val="none" w:sz="0" w:space="0" w:color="auto"/>
        <w:bottom w:val="none" w:sz="0" w:space="0" w:color="auto"/>
        <w:right w:val="none" w:sz="0" w:space="0" w:color="auto"/>
      </w:divBdr>
    </w:div>
    <w:div w:id="1554467996">
      <w:bodyDiv w:val="1"/>
      <w:marLeft w:val="0"/>
      <w:marRight w:val="0"/>
      <w:marTop w:val="0"/>
      <w:marBottom w:val="0"/>
      <w:divBdr>
        <w:top w:val="none" w:sz="0" w:space="0" w:color="auto"/>
        <w:left w:val="none" w:sz="0" w:space="0" w:color="auto"/>
        <w:bottom w:val="none" w:sz="0" w:space="0" w:color="auto"/>
        <w:right w:val="none" w:sz="0" w:space="0" w:color="auto"/>
      </w:divBdr>
    </w:div>
    <w:div w:id="1569195792">
      <w:bodyDiv w:val="1"/>
      <w:marLeft w:val="0"/>
      <w:marRight w:val="0"/>
      <w:marTop w:val="0"/>
      <w:marBottom w:val="0"/>
      <w:divBdr>
        <w:top w:val="none" w:sz="0" w:space="0" w:color="auto"/>
        <w:left w:val="none" w:sz="0" w:space="0" w:color="auto"/>
        <w:bottom w:val="none" w:sz="0" w:space="0" w:color="auto"/>
        <w:right w:val="none" w:sz="0" w:space="0" w:color="auto"/>
      </w:divBdr>
    </w:div>
    <w:div w:id="1573806971">
      <w:bodyDiv w:val="1"/>
      <w:marLeft w:val="0"/>
      <w:marRight w:val="0"/>
      <w:marTop w:val="0"/>
      <w:marBottom w:val="0"/>
      <w:divBdr>
        <w:top w:val="none" w:sz="0" w:space="0" w:color="auto"/>
        <w:left w:val="none" w:sz="0" w:space="0" w:color="auto"/>
        <w:bottom w:val="none" w:sz="0" w:space="0" w:color="auto"/>
        <w:right w:val="none" w:sz="0" w:space="0" w:color="auto"/>
      </w:divBdr>
    </w:div>
    <w:div w:id="1599018764">
      <w:bodyDiv w:val="1"/>
      <w:marLeft w:val="0"/>
      <w:marRight w:val="0"/>
      <w:marTop w:val="0"/>
      <w:marBottom w:val="0"/>
      <w:divBdr>
        <w:top w:val="none" w:sz="0" w:space="0" w:color="auto"/>
        <w:left w:val="none" w:sz="0" w:space="0" w:color="auto"/>
        <w:bottom w:val="none" w:sz="0" w:space="0" w:color="auto"/>
        <w:right w:val="none" w:sz="0" w:space="0" w:color="auto"/>
      </w:divBdr>
    </w:div>
    <w:div w:id="1612518165">
      <w:bodyDiv w:val="1"/>
      <w:marLeft w:val="0"/>
      <w:marRight w:val="0"/>
      <w:marTop w:val="0"/>
      <w:marBottom w:val="0"/>
      <w:divBdr>
        <w:top w:val="none" w:sz="0" w:space="0" w:color="auto"/>
        <w:left w:val="none" w:sz="0" w:space="0" w:color="auto"/>
        <w:bottom w:val="none" w:sz="0" w:space="0" w:color="auto"/>
        <w:right w:val="none" w:sz="0" w:space="0" w:color="auto"/>
      </w:divBdr>
    </w:div>
    <w:div w:id="1623338230">
      <w:bodyDiv w:val="1"/>
      <w:marLeft w:val="0"/>
      <w:marRight w:val="0"/>
      <w:marTop w:val="0"/>
      <w:marBottom w:val="0"/>
      <w:divBdr>
        <w:top w:val="none" w:sz="0" w:space="0" w:color="auto"/>
        <w:left w:val="none" w:sz="0" w:space="0" w:color="auto"/>
        <w:bottom w:val="none" w:sz="0" w:space="0" w:color="auto"/>
        <w:right w:val="none" w:sz="0" w:space="0" w:color="auto"/>
      </w:divBdr>
    </w:div>
    <w:div w:id="1630168691">
      <w:bodyDiv w:val="1"/>
      <w:marLeft w:val="0"/>
      <w:marRight w:val="0"/>
      <w:marTop w:val="0"/>
      <w:marBottom w:val="0"/>
      <w:divBdr>
        <w:top w:val="none" w:sz="0" w:space="0" w:color="auto"/>
        <w:left w:val="none" w:sz="0" w:space="0" w:color="auto"/>
        <w:bottom w:val="none" w:sz="0" w:space="0" w:color="auto"/>
        <w:right w:val="none" w:sz="0" w:space="0" w:color="auto"/>
      </w:divBdr>
    </w:div>
    <w:div w:id="1633364836">
      <w:bodyDiv w:val="1"/>
      <w:marLeft w:val="0"/>
      <w:marRight w:val="0"/>
      <w:marTop w:val="0"/>
      <w:marBottom w:val="0"/>
      <w:divBdr>
        <w:top w:val="none" w:sz="0" w:space="0" w:color="auto"/>
        <w:left w:val="none" w:sz="0" w:space="0" w:color="auto"/>
        <w:bottom w:val="none" w:sz="0" w:space="0" w:color="auto"/>
        <w:right w:val="none" w:sz="0" w:space="0" w:color="auto"/>
      </w:divBdr>
      <w:divsChild>
        <w:div w:id="843205960">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633755939">
      <w:bodyDiv w:val="1"/>
      <w:marLeft w:val="0"/>
      <w:marRight w:val="0"/>
      <w:marTop w:val="0"/>
      <w:marBottom w:val="0"/>
      <w:divBdr>
        <w:top w:val="none" w:sz="0" w:space="0" w:color="auto"/>
        <w:left w:val="none" w:sz="0" w:space="0" w:color="auto"/>
        <w:bottom w:val="none" w:sz="0" w:space="0" w:color="auto"/>
        <w:right w:val="none" w:sz="0" w:space="0" w:color="auto"/>
      </w:divBdr>
    </w:div>
    <w:div w:id="1648587331">
      <w:bodyDiv w:val="1"/>
      <w:marLeft w:val="0"/>
      <w:marRight w:val="0"/>
      <w:marTop w:val="0"/>
      <w:marBottom w:val="0"/>
      <w:divBdr>
        <w:top w:val="none" w:sz="0" w:space="0" w:color="auto"/>
        <w:left w:val="none" w:sz="0" w:space="0" w:color="auto"/>
        <w:bottom w:val="none" w:sz="0" w:space="0" w:color="auto"/>
        <w:right w:val="none" w:sz="0" w:space="0" w:color="auto"/>
      </w:divBdr>
    </w:div>
    <w:div w:id="1659923167">
      <w:bodyDiv w:val="1"/>
      <w:marLeft w:val="0"/>
      <w:marRight w:val="0"/>
      <w:marTop w:val="0"/>
      <w:marBottom w:val="0"/>
      <w:divBdr>
        <w:top w:val="none" w:sz="0" w:space="0" w:color="auto"/>
        <w:left w:val="none" w:sz="0" w:space="0" w:color="auto"/>
        <w:bottom w:val="none" w:sz="0" w:space="0" w:color="auto"/>
        <w:right w:val="none" w:sz="0" w:space="0" w:color="auto"/>
      </w:divBdr>
    </w:div>
    <w:div w:id="1676302923">
      <w:bodyDiv w:val="1"/>
      <w:marLeft w:val="0"/>
      <w:marRight w:val="0"/>
      <w:marTop w:val="0"/>
      <w:marBottom w:val="0"/>
      <w:divBdr>
        <w:top w:val="none" w:sz="0" w:space="0" w:color="auto"/>
        <w:left w:val="none" w:sz="0" w:space="0" w:color="auto"/>
        <w:bottom w:val="none" w:sz="0" w:space="0" w:color="auto"/>
        <w:right w:val="none" w:sz="0" w:space="0" w:color="auto"/>
      </w:divBdr>
    </w:div>
    <w:div w:id="1676496014">
      <w:bodyDiv w:val="1"/>
      <w:marLeft w:val="0"/>
      <w:marRight w:val="0"/>
      <w:marTop w:val="0"/>
      <w:marBottom w:val="0"/>
      <w:divBdr>
        <w:top w:val="none" w:sz="0" w:space="0" w:color="auto"/>
        <w:left w:val="none" w:sz="0" w:space="0" w:color="auto"/>
        <w:bottom w:val="none" w:sz="0" w:space="0" w:color="auto"/>
        <w:right w:val="none" w:sz="0" w:space="0" w:color="auto"/>
      </w:divBdr>
    </w:div>
    <w:div w:id="1687824830">
      <w:bodyDiv w:val="1"/>
      <w:marLeft w:val="0"/>
      <w:marRight w:val="0"/>
      <w:marTop w:val="0"/>
      <w:marBottom w:val="0"/>
      <w:divBdr>
        <w:top w:val="none" w:sz="0" w:space="0" w:color="auto"/>
        <w:left w:val="none" w:sz="0" w:space="0" w:color="auto"/>
        <w:bottom w:val="none" w:sz="0" w:space="0" w:color="auto"/>
        <w:right w:val="none" w:sz="0" w:space="0" w:color="auto"/>
      </w:divBdr>
    </w:div>
    <w:div w:id="1694696156">
      <w:bodyDiv w:val="1"/>
      <w:marLeft w:val="0"/>
      <w:marRight w:val="0"/>
      <w:marTop w:val="0"/>
      <w:marBottom w:val="0"/>
      <w:divBdr>
        <w:top w:val="none" w:sz="0" w:space="0" w:color="auto"/>
        <w:left w:val="none" w:sz="0" w:space="0" w:color="auto"/>
        <w:bottom w:val="none" w:sz="0" w:space="0" w:color="auto"/>
        <w:right w:val="none" w:sz="0" w:space="0" w:color="auto"/>
      </w:divBdr>
    </w:div>
    <w:div w:id="1703246471">
      <w:bodyDiv w:val="1"/>
      <w:marLeft w:val="0"/>
      <w:marRight w:val="0"/>
      <w:marTop w:val="0"/>
      <w:marBottom w:val="0"/>
      <w:divBdr>
        <w:top w:val="none" w:sz="0" w:space="0" w:color="auto"/>
        <w:left w:val="none" w:sz="0" w:space="0" w:color="auto"/>
        <w:bottom w:val="none" w:sz="0" w:space="0" w:color="auto"/>
        <w:right w:val="none" w:sz="0" w:space="0" w:color="auto"/>
      </w:divBdr>
    </w:div>
    <w:div w:id="1707369497">
      <w:bodyDiv w:val="1"/>
      <w:marLeft w:val="0"/>
      <w:marRight w:val="0"/>
      <w:marTop w:val="0"/>
      <w:marBottom w:val="0"/>
      <w:divBdr>
        <w:top w:val="none" w:sz="0" w:space="0" w:color="auto"/>
        <w:left w:val="none" w:sz="0" w:space="0" w:color="auto"/>
        <w:bottom w:val="none" w:sz="0" w:space="0" w:color="auto"/>
        <w:right w:val="none" w:sz="0" w:space="0" w:color="auto"/>
      </w:divBdr>
    </w:div>
    <w:div w:id="1711760945">
      <w:bodyDiv w:val="1"/>
      <w:marLeft w:val="0"/>
      <w:marRight w:val="0"/>
      <w:marTop w:val="0"/>
      <w:marBottom w:val="0"/>
      <w:divBdr>
        <w:top w:val="none" w:sz="0" w:space="0" w:color="auto"/>
        <w:left w:val="none" w:sz="0" w:space="0" w:color="auto"/>
        <w:bottom w:val="none" w:sz="0" w:space="0" w:color="auto"/>
        <w:right w:val="none" w:sz="0" w:space="0" w:color="auto"/>
      </w:divBdr>
    </w:div>
    <w:div w:id="1716156797">
      <w:bodyDiv w:val="1"/>
      <w:marLeft w:val="0"/>
      <w:marRight w:val="0"/>
      <w:marTop w:val="0"/>
      <w:marBottom w:val="0"/>
      <w:divBdr>
        <w:top w:val="none" w:sz="0" w:space="0" w:color="auto"/>
        <w:left w:val="none" w:sz="0" w:space="0" w:color="auto"/>
        <w:bottom w:val="none" w:sz="0" w:space="0" w:color="auto"/>
        <w:right w:val="none" w:sz="0" w:space="0" w:color="auto"/>
      </w:divBdr>
    </w:div>
    <w:div w:id="1718973936">
      <w:bodyDiv w:val="1"/>
      <w:marLeft w:val="0"/>
      <w:marRight w:val="0"/>
      <w:marTop w:val="0"/>
      <w:marBottom w:val="0"/>
      <w:divBdr>
        <w:top w:val="none" w:sz="0" w:space="0" w:color="auto"/>
        <w:left w:val="none" w:sz="0" w:space="0" w:color="auto"/>
        <w:bottom w:val="none" w:sz="0" w:space="0" w:color="auto"/>
        <w:right w:val="none" w:sz="0" w:space="0" w:color="auto"/>
      </w:divBdr>
    </w:div>
    <w:div w:id="1719434003">
      <w:bodyDiv w:val="1"/>
      <w:marLeft w:val="0"/>
      <w:marRight w:val="0"/>
      <w:marTop w:val="0"/>
      <w:marBottom w:val="0"/>
      <w:divBdr>
        <w:top w:val="none" w:sz="0" w:space="0" w:color="auto"/>
        <w:left w:val="none" w:sz="0" w:space="0" w:color="auto"/>
        <w:bottom w:val="none" w:sz="0" w:space="0" w:color="auto"/>
        <w:right w:val="none" w:sz="0" w:space="0" w:color="auto"/>
      </w:divBdr>
    </w:div>
    <w:div w:id="1719862032">
      <w:bodyDiv w:val="1"/>
      <w:marLeft w:val="0"/>
      <w:marRight w:val="0"/>
      <w:marTop w:val="0"/>
      <w:marBottom w:val="0"/>
      <w:divBdr>
        <w:top w:val="none" w:sz="0" w:space="0" w:color="auto"/>
        <w:left w:val="none" w:sz="0" w:space="0" w:color="auto"/>
        <w:bottom w:val="none" w:sz="0" w:space="0" w:color="auto"/>
        <w:right w:val="none" w:sz="0" w:space="0" w:color="auto"/>
      </w:divBdr>
    </w:div>
    <w:div w:id="1724213526">
      <w:bodyDiv w:val="1"/>
      <w:marLeft w:val="0"/>
      <w:marRight w:val="0"/>
      <w:marTop w:val="0"/>
      <w:marBottom w:val="0"/>
      <w:divBdr>
        <w:top w:val="none" w:sz="0" w:space="0" w:color="auto"/>
        <w:left w:val="none" w:sz="0" w:space="0" w:color="auto"/>
        <w:bottom w:val="none" w:sz="0" w:space="0" w:color="auto"/>
        <w:right w:val="none" w:sz="0" w:space="0" w:color="auto"/>
      </w:divBdr>
    </w:div>
    <w:div w:id="1730768777">
      <w:bodyDiv w:val="1"/>
      <w:marLeft w:val="0"/>
      <w:marRight w:val="0"/>
      <w:marTop w:val="0"/>
      <w:marBottom w:val="0"/>
      <w:divBdr>
        <w:top w:val="none" w:sz="0" w:space="0" w:color="auto"/>
        <w:left w:val="none" w:sz="0" w:space="0" w:color="auto"/>
        <w:bottom w:val="none" w:sz="0" w:space="0" w:color="auto"/>
        <w:right w:val="none" w:sz="0" w:space="0" w:color="auto"/>
      </w:divBdr>
      <w:divsChild>
        <w:div w:id="324281027">
          <w:marLeft w:val="0"/>
          <w:marRight w:val="0"/>
          <w:marTop w:val="0"/>
          <w:marBottom w:val="0"/>
          <w:divBdr>
            <w:top w:val="none" w:sz="0" w:space="0" w:color="auto"/>
            <w:left w:val="none" w:sz="0" w:space="0" w:color="auto"/>
            <w:bottom w:val="none" w:sz="0" w:space="0" w:color="auto"/>
            <w:right w:val="none" w:sz="0" w:space="0" w:color="auto"/>
          </w:divBdr>
        </w:div>
        <w:div w:id="404955114">
          <w:marLeft w:val="0"/>
          <w:marRight w:val="0"/>
          <w:marTop w:val="0"/>
          <w:marBottom w:val="0"/>
          <w:divBdr>
            <w:top w:val="none" w:sz="0" w:space="0" w:color="auto"/>
            <w:left w:val="none" w:sz="0" w:space="0" w:color="auto"/>
            <w:bottom w:val="none" w:sz="0" w:space="0" w:color="auto"/>
            <w:right w:val="none" w:sz="0" w:space="0" w:color="auto"/>
          </w:divBdr>
        </w:div>
        <w:div w:id="595677664">
          <w:marLeft w:val="0"/>
          <w:marRight w:val="0"/>
          <w:marTop w:val="0"/>
          <w:marBottom w:val="0"/>
          <w:divBdr>
            <w:top w:val="none" w:sz="0" w:space="0" w:color="auto"/>
            <w:left w:val="none" w:sz="0" w:space="0" w:color="auto"/>
            <w:bottom w:val="none" w:sz="0" w:space="0" w:color="auto"/>
            <w:right w:val="none" w:sz="0" w:space="0" w:color="auto"/>
          </w:divBdr>
        </w:div>
        <w:div w:id="889536575">
          <w:marLeft w:val="0"/>
          <w:marRight w:val="0"/>
          <w:marTop w:val="0"/>
          <w:marBottom w:val="0"/>
          <w:divBdr>
            <w:top w:val="none" w:sz="0" w:space="0" w:color="auto"/>
            <w:left w:val="none" w:sz="0" w:space="0" w:color="auto"/>
            <w:bottom w:val="none" w:sz="0" w:space="0" w:color="auto"/>
            <w:right w:val="none" w:sz="0" w:space="0" w:color="auto"/>
          </w:divBdr>
        </w:div>
        <w:div w:id="1502967352">
          <w:marLeft w:val="0"/>
          <w:marRight w:val="0"/>
          <w:marTop w:val="0"/>
          <w:marBottom w:val="0"/>
          <w:divBdr>
            <w:top w:val="none" w:sz="0" w:space="0" w:color="auto"/>
            <w:left w:val="none" w:sz="0" w:space="0" w:color="auto"/>
            <w:bottom w:val="none" w:sz="0" w:space="0" w:color="auto"/>
            <w:right w:val="none" w:sz="0" w:space="0" w:color="auto"/>
          </w:divBdr>
        </w:div>
        <w:div w:id="1557157842">
          <w:marLeft w:val="0"/>
          <w:marRight w:val="0"/>
          <w:marTop w:val="0"/>
          <w:marBottom w:val="0"/>
          <w:divBdr>
            <w:top w:val="none" w:sz="0" w:space="0" w:color="auto"/>
            <w:left w:val="none" w:sz="0" w:space="0" w:color="auto"/>
            <w:bottom w:val="none" w:sz="0" w:space="0" w:color="auto"/>
            <w:right w:val="none" w:sz="0" w:space="0" w:color="auto"/>
          </w:divBdr>
        </w:div>
        <w:div w:id="1943226319">
          <w:marLeft w:val="0"/>
          <w:marRight w:val="0"/>
          <w:marTop w:val="0"/>
          <w:marBottom w:val="0"/>
          <w:divBdr>
            <w:top w:val="none" w:sz="0" w:space="0" w:color="auto"/>
            <w:left w:val="none" w:sz="0" w:space="0" w:color="auto"/>
            <w:bottom w:val="none" w:sz="0" w:space="0" w:color="auto"/>
            <w:right w:val="none" w:sz="0" w:space="0" w:color="auto"/>
          </w:divBdr>
        </w:div>
      </w:divsChild>
    </w:div>
    <w:div w:id="1731493849">
      <w:bodyDiv w:val="1"/>
      <w:marLeft w:val="0"/>
      <w:marRight w:val="0"/>
      <w:marTop w:val="0"/>
      <w:marBottom w:val="0"/>
      <w:divBdr>
        <w:top w:val="none" w:sz="0" w:space="0" w:color="auto"/>
        <w:left w:val="none" w:sz="0" w:space="0" w:color="auto"/>
        <w:bottom w:val="none" w:sz="0" w:space="0" w:color="auto"/>
        <w:right w:val="none" w:sz="0" w:space="0" w:color="auto"/>
      </w:divBdr>
    </w:div>
    <w:div w:id="1735277070">
      <w:bodyDiv w:val="1"/>
      <w:marLeft w:val="0"/>
      <w:marRight w:val="0"/>
      <w:marTop w:val="0"/>
      <w:marBottom w:val="0"/>
      <w:divBdr>
        <w:top w:val="none" w:sz="0" w:space="0" w:color="auto"/>
        <w:left w:val="none" w:sz="0" w:space="0" w:color="auto"/>
        <w:bottom w:val="none" w:sz="0" w:space="0" w:color="auto"/>
        <w:right w:val="none" w:sz="0" w:space="0" w:color="auto"/>
      </w:divBdr>
    </w:div>
    <w:div w:id="1735540052">
      <w:bodyDiv w:val="1"/>
      <w:marLeft w:val="0"/>
      <w:marRight w:val="0"/>
      <w:marTop w:val="0"/>
      <w:marBottom w:val="0"/>
      <w:divBdr>
        <w:top w:val="none" w:sz="0" w:space="0" w:color="auto"/>
        <w:left w:val="none" w:sz="0" w:space="0" w:color="auto"/>
        <w:bottom w:val="none" w:sz="0" w:space="0" w:color="auto"/>
        <w:right w:val="none" w:sz="0" w:space="0" w:color="auto"/>
      </w:divBdr>
      <w:divsChild>
        <w:div w:id="2030713259">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745297859">
      <w:bodyDiv w:val="1"/>
      <w:marLeft w:val="0"/>
      <w:marRight w:val="0"/>
      <w:marTop w:val="0"/>
      <w:marBottom w:val="0"/>
      <w:divBdr>
        <w:top w:val="none" w:sz="0" w:space="0" w:color="auto"/>
        <w:left w:val="none" w:sz="0" w:space="0" w:color="auto"/>
        <w:bottom w:val="none" w:sz="0" w:space="0" w:color="auto"/>
        <w:right w:val="none" w:sz="0" w:space="0" w:color="auto"/>
      </w:divBdr>
    </w:div>
    <w:div w:id="1748385012">
      <w:bodyDiv w:val="1"/>
      <w:marLeft w:val="0"/>
      <w:marRight w:val="0"/>
      <w:marTop w:val="0"/>
      <w:marBottom w:val="0"/>
      <w:divBdr>
        <w:top w:val="none" w:sz="0" w:space="0" w:color="auto"/>
        <w:left w:val="none" w:sz="0" w:space="0" w:color="auto"/>
        <w:bottom w:val="none" w:sz="0" w:space="0" w:color="auto"/>
        <w:right w:val="none" w:sz="0" w:space="0" w:color="auto"/>
      </w:divBdr>
    </w:div>
    <w:div w:id="1758091740">
      <w:bodyDiv w:val="1"/>
      <w:marLeft w:val="0"/>
      <w:marRight w:val="0"/>
      <w:marTop w:val="0"/>
      <w:marBottom w:val="0"/>
      <w:divBdr>
        <w:top w:val="none" w:sz="0" w:space="0" w:color="auto"/>
        <w:left w:val="none" w:sz="0" w:space="0" w:color="auto"/>
        <w:bottom w:val="none" w:sz="0" w:space="0" w:color="auto"/>
        <w:right w:val="none" w:sz="0" w:space="0" w:color="auto"/>
      </w:divBdr>
    </w:div>
    <w:div w:id="1758479281">
      <w:bodyDiv w:val="1"/>
      <w:marLeft w:val="0"/>
      <w:marRight w:val="0"/>
      <w:marTop w:val="0"/>
      <w:marBottom w:val="0"/>
      <w:divBdr>
        <w:top w:val="none" w:sz="0" w:space="0" w:color="auto"/>
        <w:left w:val="none" w:sz="0" w:space="0" w:color="auto"/>
        <w:bottom w:val="none" w:sz="0" w:space="0" w:color="auto"/>
        <w:right w:val="none" w:sz="0" w:space="0" w:color="auto"/>
      </w:divBdr>
    </w:div>
    <w:div w:id="1768383001">
      <w:bodyDiv w:val="1"/>
      <w:marLeft w:val="0"/>
      <w:marRight w:val="0"/>
      <w:marTop w:val="0"/>
      <w:marBottom w:val="0"/>
      <w:divBdr>
        <w:top w:val="none" w:sz="0" w:space="0" w:color="auto"/>
        <w:left w:val="none" w:sz="0" w:space="0" w:color="auto"/>
        <w:bottom w:val="none" w:sz="0" w:space="0" w:color="auto"/>
        <w:right w:val="none" w:sz="0" w:space="0" w:color="auto"/>
      </w:divBdr>
    </w:div>
    <w:div w:id="1774008717">
      <w:bodyDiv w:val="1"/>
      <w:marLeft w:val="0"/>
      <w:marRight w:val="0"/>
      <w:marTop w:val="0"/>
      <w:marBottom w:val="0"/>
      <w:divBdr>
        <w:top w:val="none" w:sz="0" w:space="0" w:color="auto"/>
        <w:left w:val="none" w:sz="0" w:space="0" w:color="auto"/>
        <w:bottom w:val="none" w:sz="0" w:space="0" w:color="auto"/>
        <w:right w:val="none" w:sz="0" w:space="0" w:color="auto"/>
      </w:divBdr>
    </w:div>
    <w:div w:id="1778913247">
      <w:bodyDiv w:val="1"/>
      <w:marLeft w:val="0"/>
      <w:marRight w:val="0"/>
      <w:marTop w:val="0"/>
      <w:marBottom w:val="0"/>
      <w:divBdr>
        <w:top w:val="none" w:sz="0" w:space="0" w:color="auto"/>
        <w:left w:val="none" w:sz="0" w:space="0" w:color="auto"/>
        <w:bottom w:val="none" w:sz="0" w:space="0" w:color="auto"/>
        <w:right w:val="none" w:sz="0" w:space="0" w:color="auto"/>
      </w:divBdr>
    </w:div>
    <w:div w:id="1792940988">
      <w:bodyDiv w:val="1"/>
      <w:marLeft w:val="0"/>
      <w:marRight w:val="0"/>
      <w:marTop w:val="0"/>
      <w:marBottom w:val="0"/>
      <w:divBdr>
        <w:top w:val="none" w:sz="0" w:space="0" w:color="auto"/>
        <w:left w:val="none" w:sz="0" w:space="0" w:color="auto"/>
        <w:bottom w:val="none" w:sz="0" w:space="0" w:color="auto"/>
        <w:right w:val="none" w:sz="0" w:space="0" w:color="auto"/>
      </w:divBdr>
    </w:div>
    <w:div w:id="1813595838">
      <w:bodyDiv w:val="1"/>
      <w:marLeft w:val="0"/>
      <w:marRight w:val="0"/>
      <w:marTop w:val="0"/>
      <w:marBottom w:val="0"/>
      <w:divBdr>
        <w:top w:val="none" w:sz="0" w:space="0" w:color="auto"/>
        <w:left w:val="none" w:sz="0" w:space="0" w:color="auto"/>
        <w:bottom w:val="none" w:sz="0" w:space="0" w:color="auto"/>
        <w:right w:val="none" w:sz="0" w:space="0" w:color="auto"/>
      </w:divBdr>
    </w:div>
    <w:div w:id="1824853170">
      <w:bodyDiv w:val="1"/>
      <w:marLeft w:val="0"/>
      <w:marRight w:val="0"/>
      <w:marTop w:val="0"/>
      <w:marBottom w:val="0"/>
      <w:divBdr>
        <w:top w:val="none" w:sz="0" w:space="0" w:color="auto"/>
        <w:left w:val="none" w:sz="0" w:space="0" w:color="auto"/>
        <w:bottom w:val="none" w:sz="0" w:space="0" w:color="auto"/>
        <w:right w:val="none" w:sz="0" w:space="0" w:color="auto"/>
      </w:divBdr>
    </w:div>
    <w:div w:id="1833333713">
      <w:bodyDiv w:val="1"/>
      <w:marLeft w:val="0"/>
      <w:marRight w:val="0"/>
      <w:marTop w:val="0"/>
      <w:marBottom w:val="0"/>
      <w:divBdr>
        <w:top w:val="none" w:sz="0" w:space="0" w:color="auto"/>
        <w:left w:val="none" w:sz="0" w:space="0" w:color="auto"/>
        <w:bottom w:val="none" w:sz="0" w:space="0" w:color="auto"/>
        <w:right w:val="none" w:sz="0" w:space="0" w:color="auto"/>
      </w:divBdr>
    </w:div>
    <w:div w:id="1833400568">
      <w:bodyDiv w:val="1"/>
      <w:marLeft w:val="0"/>
      <w:marRight w:val="0"/>
      <w:marTop w:val="0"/>
      <w:marBottom w:val="0"/>
      <w:divBdr>
        <w:top w:val="none" w:sz="0" w:space="0" w:color="auto"/>
        <w:left w:val="none" w:sz="0" w:space="0" w:color="auto"/>
        <w:bottom w:val="none" w:sz="0" w:space="0" w:color="auto"/>
        <w:right w:val="none" w:sz="0" w:space="0" w:color="auto"/>
      </w:divBdr>
    </w:div>
    <w:div w:id="1834562567">
      <w:bodyDiv w:val="1"/>
      <w:marLeft w:val="0"/>
      <w:marRight w:val="0"/>
      <w:marTop w:val="0"/>
      <w:marBottom w:val="0"/>
      <w:divBdr>
        <w:top w:val="none" w:sz="0" w:space="0" w:color="auto"/>
        <w:left w:val="none" w:sz="0" w:space="0" w:color="auto"/>
        <w:bottom w:val="none" w:sz="0" w:space="0" w:color="auto"/>
        <w:right w:val="none" w:sz="0" w:space="0" w:color="auto"/>
      </w:divBdr>
      <w:divsChild>
        <w:div w:id="1115558743">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838887649">
      <w:bodyDiv w:val="1"/>
      <w:marLeft w:val="0"/>
      <w:marRight w:val="0"/>
      <w:marTop w:val="0"/>
      <w:marBottom w:val="0"/>
      <w:divBdr>
        <w:top w:val="none" w:sz="0" w:space="0" w:color="auto"/>
        <w:left w:val="none" w:sz="0" w:space="0" w:color="auto"/>
        <w:bottom w:val="none" w:sz="0" w:space="0" w:color="auto"/>
        <w:right w:val="none" w:sz="0" w:space="0" w:color="auto"/>
      </w:divBdr>
    </w:div>
    <w:div w:id="1855722604">
      <w:bodyDiv w:val="1"/>
      <w:marLeft w:val="0"/>
      <w:marRight w:val="0"/>
      <w:marTop w:val="0"/>
      <w:marBottom w:val="0"/>
      <w:divBdr>
        <w:top w:val="none" w:sz="0" w:space="0" w:color="auto"/>
        <w:left w:val="none" w:sz="0" w:space="0" w:color="auto"/>
        <w:bottom w:val="none" w:sz="0" w:space="0" w:color="auto"/>
        <w:right w:val="none" w:sz="0" w:space="0" w:color="auto"/>
      </w:divBdr>
    </w:div>
    <w:div w:id="1856505042">
      <w:bodyDiv w:val="1"/>
      <w:marLeft w:val="0"/>
      <w:marRight w:val="0"/>
      <w:marTop w:val="0"/>
      <w:marBottom w:val="0"/>
      <w:divBdr>
        <w:top w:val="none" w:sz="0" w:space="0" w:color="auto"/>
        <w:left w:val="none" w:sz="0" w:space="0" w:color="auto"/>
        <w:bottom w:val="none" w:sz="0" w:space="0" w:color="auto"/>
        <w:right w:val="none" w:sz="0" w:space="0" w:color="auto"/>
      </w:divBdr>
    </w:div>
    <w:div w:id="1859542997">
      <w:bodyDiv w:val="1"/>
      <w:marLeft w:val="0"/>
      <w:marRight w:val="0"/>
      <w:marTop w:val="0"/>
      <w:marBottom w:val="0"/>
      <w:divBdr>
        <w:top w:val="none" w:sz="0" w:space="0" w:color="auto"/>
        <w:left w:val="none" w:sz="0" w:space="0" w:color="auto"/>
        <w:bottom w:val="none" w:sz="0" w:space="0" w:color="auto"/>
        <w:right w:val="none" w:sz="0" w:space="0" w:color="auto"/>
      </w:divBdr>
    </w:div>
    <w:div w:id="1896236721">
      <w:bodyDiv w:val="1"/>
      <w:marLeft w:val="0"/>
      <w:marRight w:val="0"/>
      <w:marTop w:val="0"/>
      <w:marBottom w:val="0"/>
      <w:divBdr>
        <w:top w:val="none" w:sz="0" w:space="0" w:color="auto"/>
        <w:left w:val="none" w:sz="0" w:space="0" w:color="auto"/>
        <w:bottom w:val="none" w:sz="0" w:space="0" w:color="auto"/>
        <w:right w:val="none" w:sz="0" w:space="0" w:color="auto"/>
      </w:divBdr>
    </w:div>
    <w:div w:id="1904487005">
      <w:bodyDiv w:val="1"/>
      <w:marLeft w:val="0"/>
      <w:marRight w:val="0"/>
      <w:marTop w:val="0"/>
      <w:marBottom w:val="0"/>
      <w:divBdr>
        <w:top w:val="none" w:sz="0" w:space="0" w:color="auto"/>
        <w:left w:val="none" w:sz="0" w:space="0" w:color="auto"/>
        <w:bottom w:val="none" w:sz="0" w:space="0" w:color="auto"/>
        <w:right w:val="none" w:sz="0" w:space="0" w:color="auto"/>
      </w:divBdr>
    </w:div>
    <w:div w:id="1905140100">
      <w:bodyDiv w:val="1"/>
      <w:marLeft w:val="0"/>
      <w:marRight w:val="0"/>
      <w:marTop w:val="0"/>
      <w:marBottom w:val="0"/>
      <w:divBdr>
        <w:top w:val="none" w:sz="0" w:space="0" w:color="auto"/>
        <w:left w:val="none" w:sz="0" w:space="0" w:color="auto"/>
        <w:bottom w:val="none" w:sz="0" w:space="0" w:color="auto"/>
        <w:right w:val="none" w:sz="0" w:space="0" w:color="auto"/>
      </w:divBdr>
    </w:div>
    <w:div w:id="1909339917">
      <w:bodyDiv w:val="1"/>
      <w:marLeft w:val="0"/>
      <w:marRight w:val="0"/>
      <w:marTop w:val="0"/>
      <w:marBottom w:val="0"/>
      <w:divBdr>
        <w:top w:val="none" w:sz="0" w:space="0" w:color="auto"/>
        <w:left w:val="none" w:sz="0" w:space="0" w:color="auto"/>
        <w:bottom w:val="none" w:sz="0" w:space="0" w:color="auto"/>
        <w:right w:val="none" w:sz="0" w:space="0" w:color="auto"/>
      </w:divBdr>
    </w:div>
    <w:div w:id="1919291340">
      <w:bodyDiv w:val="1"/>
      <w:marLeft w:val="0"/>
      <w:marRight w:val="0"/>
      <w:marTop w:val="0"/>
      <w:marBottom w:val="0"/>
      <w:divBdr>
        <w:top w:val="none" w:sz="0" w:space="0" w:color="auto"/>
        <w:left w:val="none" w:sz="0" w:space="0" w:color="auto"/>
        <w:bottom w:val="none" w:sz="0" w:space="0" w:color="auto"/>
        <w:right w:val="none" w:sz="0" w:space="0" w:color="auto"/>
      </w:divBdr>
    </w:div>
    <w:div w:id="1921744162">
      <w:bodyDiv w:val="1"/>
      <w:marLeft w:val="0"/>
      <w:marRight w:val="0"/>
      <w:marTop w:val="0"/>
      <w:marBottom w:val="0"/>
      <w:divBdr>
        <w:top w:val="none" w:sz="0" w:space="0" w:color="auto"/>
        <w:left w:val="none" w:sz="0" w:space="0" w:color="auto"/>
        <w:bottom w:val="none" w:sz="0" w:space="0" w:color="auto"/>
        <w:right w:val="none" w:sz="0" w:space="0" w:color="auto"/>
      </w:divBdr>
    </w:div>
    <w:div w:id="1930037694">
      <w:bodyDiv w:val="1"/>
      <w:marLeft w:val="0"/>
      <w:marRight w:val="0"/>
      <w:marTop w:val="0"/>
      <w:marBottom w:val="0"/>
      <w:divBdr>
        <w:top w:val="none" w:sz="0" w:space="0" w:color="auto"/>
        <w:left w:val="none" w:sz="0" w:space="0" w:color="auto"/>
        <w:bottom w:val="none" w:sz="0" w:space="0" w:color="auto"/>
        <w:right w:val="none" w:sz="0" w:space="0" w:color="auto"/>
      </w:divBdr>
    </w:div>
    <w:div w:id="1948344183">
      <w:bodyDiv w:val="1"/>
      <w:marLeft w:val="0"/>
      <w:marRight w:val="0"/>
      <w:marTop w:val="0"/>
      <w:marBottom w:val="0"/>
      <w:divBdr>
        <w:top w:val="none" w:sz="0" w:space="0" w:color="auto"/>
        <w:left w:val="none" w:sz="0" w:space="0" w:color="auto"/>
        <w:bottom w:val="none" w:sz="0" w:space="0" w:color="auto"/>
        <w:right w:val="none" w:sz="0" w:space="0" w:color="auto"/>
      </w:divBdr>
    </w:div>
    <w:div w:id="1954092136">
      <w:bodyDiv w:val="1"/>
      <w:marLeft w:val="0"/>
      <w:marRight w:val="0"/>
      <w:marTop w:val="0"/>
      <w:marBottom w:val="0"/>
      <w:divBdr>
        <w:top w:val="none" w:sz="0" w:space="0" w:color="auto"/>
        <w:left w:val="none" w:sz="0" w:space="0" w:color="auto"/>
        <w:bottom w:val="none" w:sz="0" w:space="0" w:color="auto"/>
        <w:right w:val="none" w:sz="0" w:space="0" w:color="auto"/>
      </w:divBdr>
    </w:div>
    <w:div w:id="1970164583">
      <w:bodyDiv w:val="1"/>
      <w:marLeft w:val="0"/>
      <w:marRight w:val="0"/>
      <w:marTop w:val="0"/>
      <w:marBottom w:val="0"/>
      <w:divBdr>
        <w:top w:val="none" w:sz="0" w:space="0" w:color="auto"/>
        <w:left w:val="none" w:sz="0" w:space="0" w:color="auto"/>
        <w:bottom w:val="none" w:sz="0" w:space="0" w:color="auto"/>
        <w:right w:val="none" w:sz="0" w:space="0" w:color="auto"/>
      </w:divBdr>
      <w:divsChild>
        <w:div w:id="293221166">
          <w:marLeft w:val="0"/>
          <w:marRight w:val="0"/>
          <w:marTop w:val="150"/>
          <w:marBottom w:val="0"/>
          <w:divBdr>
            <w:top w:val="single" w:sz="6" w:space="0" w:color="FFFFFF"/>
            <w:left w:val="single" w:sz="6" w:space="0" w:color="FFFFFF"/>
            <w:bottom w:val="single" w:sz="6" w:space="0" w:color="FFFFFF"/>
            <w:right w:val="single" w:sz="6" w:space="0" w:color="FFFFFF"/>
          </w:divBdr>
        </w:div>
      </w:divsChild>
    </w:div>
    <w:div w:id="1987004884">
      <w:bodyDiv w:val="1"/>
      <w:marLeft w:val="0"/>
      <w:marRight w:val="0"/>
      <w:marTop w:val="0"/>
      <w:marBottom w:val="0"/>
      <w:divBdr>
        <w:top w:val="none" w:sz="0" w:space="0" w:color="auto"/>
        <w:left w:val="none" w:sz="0" w:space="0" w:color="auto"/>
        <w:bottom w:val="none" w:sz="0" w:space="0" w:color="auto"/>
        <w:right w:val="none" w:sz="0" w:space="0" w:color="auto"/>
      </w:divBdr>
    </w:div>
    <w:div w:id="1989936954">
      <w:bodyDiv w:val="1"/>
      <w:marLeft w:val="0"/>
      <w:marRight w:val="0"/>
      <w:marTop w:val="0"/>
      <w:marBottom w:val="0"/>
      <w:divBdr>
        <w:top w:val="none" w:sz="0" w:space="0" w:color="auto"/>
        <w:left w:val="none" w:sz="0" w:space="0" w:color="auto"/>
        <w:bottom w:val="none" w:sz="0" w:space="0" w:color="auto"/>
        <w:right w:val="none" w:sz="0" w:space="0" w:color="auto"/>
      </w:divBdr>
    </w:div>
    <w:div w:id="2003511301">
      <w:bodyDiv w:val="1"/>
      <w:marLeft w:val="0"/>
      <w:marRight w:val="0"/>
      <w:marTop w:val="0"/>
      <w:marBottom w:val="0"/>
      <w:divBdr>
        <w:top w:val="none" w:sz="0" w:space="0" w:color="auto"/>
        <w:left w:val="none" w:sz="0" w:space="0" w:color="auto"/>
        <w:bottom w:val="none" w:sz="0" w:space="0" w:color="auto"/>
        <w:right w:val="none" w:sz="0" w:space="0" w:color="auto"/>
      </w:divBdr>
    </w:div>
    <w:div w:id="2004039520">
      <w:bodyDiv w:val="1"/>
      <w:marLeft w:val="0"/>
      <w:marRight w:val="0"/>
      <w:marTop w:val="0"/>
      <w:marBottom w:val="0"/>
      <w:divBdr>
        <w:top w:val="none" w:sz="0" w:space="0" w:color="auto"/>
        <w:left w:val="none" w:sz="0" w:space="0" w:color="auto"/>
        <w:bottom w:val="none" w:sz="0" w:space="0" w:color="auto"/>
        <w:right w:val="none" w:sz="0" w:space="0" w:color="auto"/>
      </w:divBdr>
    </w:div>
    <w:div w:id="2017416013">
      <w:bodyDiv w:val="1"/>
      <w:marLeft w:val="0"/>
      <w:marRight w:val="0"/>
      <w:marTop w:val="0"/>
      <w:marBottom w:val="0"/>
      <w:divBdr>
        <w:top w:val="none" w:sz="0" w:space="0" w:color="auto"/>
        <w:left w:val="none" w:sz="0" w:space="0" w:color="auto"/>
        <w:bottom w:val="none" w:sz="0" w:space="0" w:color="auto"/>
        <w:right w:val="none" w:sz="0" w:space="0" w:color="auto"/>
      </w:divBdr>
    </w:div>
    <w:div w:id="2065827697">
      <w:bodyDiv w:val="1"/>
      <w:marLeft w:val="0"/>
      <w:marRight w:val="0"/>
      <w:marTop w:val="0"/>
      <w:marBottom w:val="0"/>
      <w:divBdr>
        <w:top w:val="none" w:sz="0" w:space="0" w:color="auto"/>
        <w:left w:val="none" w:sz="0" w:space="0" w:color="auto"/>
        <w:bottom w:val="none" w:sz="0" w:space="0" w:color="auto"/>
        <w:right w:val="none" w:sz="0" w:space="0" w:color="auto"/>
      </w:divBdr>
    </w:div>
    <w:div w:id="2067605569">
      <w:bodyDiv w:val="1"/>
      <w:marLeft w:val="0"/>
      <w:marRight w:val="0"/>
      <w:marTop w:val="0"/>
      <w:marBottom w:val="0"/>
      <w:divBdr>
        <w:top w:val="none" w:sz="0" w:space="0" w:color="auto"/>
        <w:left w:val="none" w:sz="0" w:space="0" w:color="auto"/>
        <w:bottom w:val="none" w:sz="0" w:space="0" w:color="auto"/>
        <w:right w:val="none" w:sz="0" w:space="0" w:color="auto"/>
      </w:divBdr>
    </w:div>
    <w:div w:id="2068338318">
      <w:bodyDiv w:val="1"/>
      <w:marLeft w:val="0"/>
      <w:marRight w:val="0"/>
      <w:marTop w:val="0"/>
      <w:marBottom w:val="0"/>
      <w:divBdr>
        <w:top w:val="none" w:sz="0" w:space="0" w:color="auto"/>
        <w:left w:val="none" w:sz="0" w:space="0" w:color="auto"/>
        <w:bottom w:val="none" w:sz="0" w:space="0" w:color="auto"/>
        <w:right w:val="none" w:sz="0" w:space="0" w:color="auto"/>
      </w:divBdr>
    </w:div>
    <w:div w:id="2074308852">
      <w:bodyDiv w:val="1"/>
      <w:marLeft w:val="0"/>
      <w:marRight w:val="0"/>
      <w:marTop w:val="0"/>
      <w:marBottom w:val="0"/>
      <w:divBdr>
        <w:top w:val="none" w:sz="0" w:space="0" w:color="auto"/>
        <w:left w:val="none" w:sz="0" w:space="0" w:color="auto"/>
        <w:bottom w:val="none" w:sz="0" w:space="0" w:color="auto"/>
        <w:right w:val="none" w:sz="0" w:space="0" w:color="auto"/>
      </w:divBdr>
    </w:div>
    <w:div w:id="2091124271">
      <w:bodyDiv w:val="1"/>
      <w:marLeft w:val="0"/>
      <w:marRight w:val="0"/>
      <w:marTop w:val="0"/>
      <w:marBottom w:val="0"/>
      <w:divBdr>
        <w:top w:val="none" w:sz="0" w:space="0" w:color="auto"/>
        <w:left w:val="none" w:sz="0" w:space="0" w:color="auto"/>
        <w:bottom w:val="none" w:sz="0" w:space="0" w:color="auto"/>
        <w:right w:val="none" w:sz="0" w:space="0" w:color="auto"/>
      </w:divBdr>
    </w:div>
    <w:div w:id="2110344388">
      <w:bodyDiv w:val="1"/>
      <w:marLeft w:val="0"/>
      <w:marRight w:val="0"/>
      <w:marTop w:val="0"/>
      <w:marBottom w:val="0"/>
      <w:divBdr>
        <w:top w:val="none" w:sz="0" w:space="0" w:color="auto"/>
        <w:left w:val="none" w:sz="0" w:space="0" w:color="auto"/>
        <w:bottom w:val="none" w:sz="0" w:space="0" w:color="auto"/>
        <w:right w:val="none" w:sz="0" w:space="0" w:color="auto"/>
      </w:divBdr>
    </w:div>
    <w:div w:id="2114934373">
      <w:bodyDiv w:val="1"/>
      <w:marLeft w:val="0"/>
      <w:marRight w:val="0"/>
      <w:marTop w:val="0"/>
      <w:marBottom w:val="0"/>
      <w:divBdr>
        <w:top w:val="none" w:sz="0" w:space="0" w:color="auto"/>
        <w:left w:val="none" w:sz="0" w:space="0" w:color="auto"/>
        <w:bottom w:val="none" w:sz="0" w:space="0" w:color="auto"/>
        <w:right w:val="none" w:sz="0" w:space="0" w:color="auto"/>
      </w:divBdr>
    </w:div>
    <w:div w:id="2123183466">
      <w:bodyDiv w:val="1"/>
      <w:marLeft w:val="0"/>
      <w:marRight w:val="0"/>
      <w:marTop w:val="0"/>
      <w:marBottom w:val="0"/>
      <w:divBdr>
        <w:top w:val="none" w:sz="0" w:space="0" w:color="auto"/>
        <w:left w:val="none" w:sz="0" w:space="0" w:color="auto"/>
        <w:bottom w:val="none" w:sz="0" w:space="0" w:color="auto"/>
        <w:right w:val="none" w:sz="0" w:space="0" w:color="auto"/>
      </w:divBdr>
    </w:div>
    <w:div w:id="2127578507">
      <w:bodyDiv w:val="1"/>
      <w:marLeft w:val="0"/>
      <w:marRight w:val="0"/>
      <w:marTop w:val="0"/>
      <w:marBottom w:val="0"/>
      <w:divBdr>
        <w:top w:val="none" w:sz="0" w:space="0" w:color="auto"/>
        <w:left w:val="none" w:sz="0" w:space="0" w:color="auto"/>
        <w:bottom w:val="none" w:sz="0" w:space="0" w:color="auto"/>
        <w:right w:val="none" w:sz="0" w:space="0" w:color="auto"/>
      </w:divBdr>
    </w:div>
    <w:div w:id="2145390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chart" Target="charts/chart4.xml"/><Relationship Id="rId18" Type="http://schemas.openxmlformats.org/officeDocument/2006/relationships/chart" Target="charts/chart9.xml"/><Relationship Id="rId26" Type="http://schemas.openxmlformats.org/officeDocument/2006/relationships/chart" Target="charts/chart16.xml"/><Relationship Id="rId21" Type="http://schemas.openxmlformats.org/officeDocument/2006/relationships/image" Target="media/image1.png"/><Relationship Id="rId34" Type="http://schemas.openxmlformats.org/officeDocument/2006/relationships/header" Target="header1.xml"/><Relationship Id="rId7" Type="http://schemas.openxmlformats.org/officeDocument/2006/relationships/webSettings" Target="webSettings.xml"/><Relationship Id="rId12" Type="http://schemas.openxmlformats.org/officeDocument/2006/relationships/chart" Target="charts/chart3.xml"/><Relationship Id="rId17" Type="http://schemas.openxmlformats.org/officeDocument/2006/relationships/chart" Target="charts/chart8.xml"/><Relationship Id="rId25" Type="http://schemas.openxmlformats.org/officeDocument/2006/relationships/chart" Target="charts/chart15.xml"/><Relationship Id="rId33" Type="http://schemas.openxmlformats.org/officeDocument/2006/relationships/chart" Target="charts/chart23.xml"/><Relationship Id="rId2" Type="http://schemas.openxmlformats.org/officeDocument/2006/relationships/customXml" Target="../customXml/item2.xml"/><Relationship Id="rId16" Type="http://schemas.openxmlformats.org/officeDocument/2006/relationships/chart" Target="charts/chart7.xml"/><Relationship Id="rId20" Type="http://schemas.openxmlformats.org/officeDocument/2006/relationships/chart" Target="charts/chart11.xml"/><Relationship Id="rId29" Type="http://schemas.openxmlformats.org/officeDocument/2006/relationships/chart" Target="charts/chart19.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chart" Target="charts/chart2.xml"/><Relationship Id="rId24" Type="http://schemas.openxmlformats.org/officeDocument/2006/relationships/chart" Target="charts/chart14.xml"/><Relationship Id="rId32" Type="http://schemas.openxmlformats.org/officeDocument/2006/relationships/chart" Target="charts/chart22.xml"/><Relationship Id="rId37" Type="http://schemas.openxmlformats.org/officeDocument/2006/relationships/theme" Target="theme/theme1.xml"/><Relationship Id="rId5" Type="http://schemas.microsoft.com/office/2007/relationships/stylesWithEffects" Target="stylesWithEffects.xml"/><Relationship Id="rId15" Type="http://schemas.openxmlformats.org/officeDocument/2006/relationships/chart" Target="charts/chart6.xml"/><Relationship Id="rId23" Type="http://schemas.openxmlformats.org/officeDocument/2006/relationships/chart" Target="charts/chart13.xml"/><Relationship Id="rId28" Type="http://schemas.openxmlformats.org/officeDocument/2006/relationships/chart" Target="charts/chart18.xml"/><Relationship Id="rId36" Type="http://schemas.openxmlformats.org/officeDocument/2006/relationships/fontTable" Target="fontTable.xml"/><Relationship Id="rId10" Type="http://schemas.openxmlformats.org/officeDocument/2006/relationships/chart" Target="charts/chart1.xml"/><Relationship Id="rId19" Type="http://schemas.openxmlformats.org/officeDocument/2006/relationships/chart" Target="charts/chart10.xml"/><Relationship Id="rId31" Type="http://schemas.openxmlformats.org/officeDocument/2006/relationships/chart" Target="charts/chart21.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chart" Target="charts/chart5.xml"/><Relationship Id="rId22" Type="http://schemas.openxmlformats.org/officeDocument/2006/relationships/chart" Target="charts/chart12.xml"/><Relationship Id="rId27" Type="http://schemas.openxmlformats.org/officeDocument/2006/relationships/chart" Target="charts/chart17.xml"/><Relationship Id="rId30" Type="http://schemas.openxmlformats.org/officeDocument/2006/relationships/chart" Target="charts/chart20.xml"/><Relationship Id="rId35" Type="http://schemas.openxmlformats.org/officeDocument/2006/relationships/footer" Target="footer1.xml"/><Relationship Id="rId8" Type="http://schemas.openxmlformats.org/officeDocument/2006/relationships/footnotes" Target="footnotes.xml"/><Relationship Id="rId3" Type="http://schemas.openxmlformats.org/officeDocument/2006/relationships/numbering" Target="numbering.xml"/></Relationships>
</file>

<file path=word/charts/_rels/chart1.xml.rels><?xml version="1.0" encoding="UTF-8" standalone="yes"?>
<Relationships xmlns="http://schemas.openxmlformats.org/package/2006/relationships"><Relationship Id="rId1" Type="http://schemas.openxmlformats.org/officeDocument/2006/relationships/oleObject" Target="file:///D:\ACTIV\ODIT\&#1044;&#1050;&#1062;%20&#1063;&#1040;&#1049;&#1050;&#1040;\2021\&#1054;&#1055;_2021\&#1043;&#1060;&#1054;_2021%20&#1063;&#1072;&#1081;&#1082;&#1072;\&#1043;&#1044;&#1044;%20&#1085;&#1072;%20&#1044;&#1050;&#1062;%20&#1063;&#1072;&#1081;&#1082;&#1072;%20&#1048;&#1079;&#1095;&#1080;&#1089;&#1083;&#1080;&#1090;&#1077;&#1083;&#1085;&#1080;%20&#1090;&#1072;&#1073;&#1083;&#1080;&#1094;&#1080;%202021%20&#1075;..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D:\ACTIV\ODIT\&#1044;&#1050;&#1062;%20&#1063;&#1040;&#1049;&#1050;&#1040;\2021\&#1054;&#1055;_2021\&#1043;&#1060;&#1054;_2021%20&#1063;&#1072;&#1081;&#1082;&#1072;\&#1054;&#1050;_&#1043;&#1044;&#1044;%20&#1085;&#1072;%20&#1044;&#1050;&#1062;%20&#1063;&#1072;&#1081;&#1082;&#1072;%20&#1048;&#1079;&#1095;&#1080;&#1089;&#1083;&#1080;&#1090;&#1077;&#1083;&#1085;&#1080;%20&#1090;&#1072;&#1073;&#1083;&#1080;&#1094;&#1080;%202021%20&#1075;..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D:\ACTIV\ODIT\&#1044;&#1050;&#1062;%20&#1063;&#1040;&#1049;&#1050;&#1040;\2021\&#1054;&#1055;_2021\&#1043;&#1060;&#1054;_2021%20&#1063;&#1072;&#1081;&#1082;&#1072;\&#1054;&#1050;_&#1043;&#1044;&#1044;%20&#1085;&#1072;%20&#1044;&#1050;&#1062;%20&#1063;&#1072;&#1081;&#1082;&#1072;%20&#1048;&#1079;&#1095;&#1080;&#1089;&#1083;&#1080;&#1090;&#1077;&#1083;&#1085;&#1080;%20&#1090;&#1072;&#1073;&#1083;&#1080;&#1094;&#1080;%202021%20&#1075;..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D:\ACTIV\ODIT\&#1044;&#1050;&#1062;%20&#1063;&#1040;&#1049;&#1050;&#1040;\2021\&#1054;&#1055;_2021\&#1043;&#1060;&#1054;_2021%20&#1063;&#1072;&#1081;&#1082;&#1072;\&#1054;&#1050;_&#1043;&#1044;&#1044;%20&#1085;&#1072;%20&#1044;&#1050;&#1062;%20&#1063;&#1072;&#1081;&#1082;&#1072;%20&#1048;&#1079;&#1095;&#1080;&#1089;&#1083;&#1080;&#1090;&#1077;&#1083;&#1085;&#1080;%20&#1090;&#1072;&#1073;&#1083;&#1080;&#1094;&#1080;%202021%20&#1075;..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D:\ACTIV\ODIT\&#1044;&#1050;&#1062;%20&#1063;&#1040;&#1049;&#1050;&#1040;\2021\&#1054;&#1055;_2021\&#1043;&#1060;&#1054;_2021%20&#1063;&#1072;&#1081;&#1082;&#1072;\&#1054;&#1050;_&#1043;&#1044;&#1044;%20&#1085;&#1072;%20&#1044;&#1050;&#1062;%20&#1063;&#1072;&#1081;&#1082;&#1072;%20&#1048;&#1079;&#1095;&#1080;&#1089;&#1083;&#1080;&#1090;&#1077;&#1083;&#1085;&#1080;%20&#1090;&#1072;&#1073;&#1083;&#1080;&#1094;&#1080;%202021%20&#1075;..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D:\ACTIV\ODIT\&#1044;&#1050;&#1062;%20&#1063;&#1040;&#1049;&#1050;&#1040;\2021\&#1054;&#1055;_2021\&#1043;&#1060;&#1054;_2021%20&#1063;&#1072;&#1081;&#1082;&#1072;\&#1054;&#1050;_&#1043;&#1044;&#1044;%20&#1085;&#1072;%20&#1044;&#1050;&#1062;%20&#1063;&#1072;&#1081;&#1082;&#1072;%20&#1048;&#1079;&#1095;&#1080;&#1089;&#1083;&#1080;&#1090;&#1077;&#1083;&#1085;&#1080;%20&#1090;&#1072;&#1073;&#1083;&#1080;&#1094;&#1080;%202021%20&#1075;..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D:\ACTIV\ODIT\&#1044;&#1050;&#1062;%20&#1063;&#1040;&#1049;&#1050;&#1040;\2021\&#1054;&#1055;_2021\&#1043;&#1060;&#1054;_2021%20&#1063;&#1072;&#1081;&#1082;&#1072;\&#1054;&#1050;_&#1043;&#1044;&#1044;%20&#1085;&#1072;%20&#1044;&#1050;&#1062;%20&#1063;&#1072;&#1081;&#1082;&#1072;%20&#1048;&#1079;&#1095;&#1080;&#1089;&#1083;&#1080;&#1090;&#1077;&#1083;&#1085;&#1080;%20&#1090;&#1072;&#1073;&#1083;&#1080;&#1094;&#1080;%202021%20&#1075;..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D:\ACTIV\ODIT\&#1044;&#1050;&#1062;%20&#1063;&#1040;&#1049;&#1050;&#1040;\2021\&#1054;&#1055;_2021\&#1043;&#1060;&#1054;_2021%20&#1063;&#1072;&#1081;&#1082;&#1072;\&#1054;&#1050;_&#1043;&#1044;&#1044;%20&#1085;&#1072;%20&#1044;&#1050;&#1062;%20&#1063;&#1072;&#1081;&#1082;&#1072;%20&#1048;&#1079;&#1095;&#1080;&#1089;&#1083;&#1080;&#1090;&#1077;&#1083;&#1085;&#1080;%20&#1090;&#1072;&#1073;&#1083;&#1080;&#1094;&#1080;%202021%20&#1075;..xlsx" TargetMode="External"/></Relationships>
</file>

<file path=word/charts/_rels/chart17.xml.rels><?xml version="1.0" encoding="UTF-8" standalone="yes"?>
<Relationships xmlns="http://schemas.openxmlformats.org/package/2006/relationships"><Relationship Id="rId1" Type="http://schemas.openxmlformats.org/officeDocument/2006/relationships/oleObject" Target="file:///D:\ACTIV\ODIT\&#1044;&#1050;&#1062;%20&#1063;&#1040;&#1049;&#1050;&#1040;\2021\&#1054;&#1055;_2021\&#1043;&#1060;&#1054;_2021%20&#1063;&#1072;&#1081;&#1082;&#1072;\&#1054;&#1050;_&#1043;&#1044;&#1044;%20&#1085;&#1072;%20&#1044;&#1050;&#1062;%20&#1063;&#1072;&#1081;&#1082;&#1072;%20&#1048;&#1079;&#1095;&#1080;&#1089;&#1083;&#1080;&#1090;&#1077;&#1083;&#1085;&#1080;%20&#1090;&#1072;&#1073;&#1083;&#1080;&#1094;&#1080;%202021%20&#1075;..xlsx" TargetMode="External"/></Relationships>
</file>

<file path=word/charts/_rels/chart18.xml.rels><?xml version="1.0" encoding="UTF-8" standalone="yes"?>
<Relationships xmlns="http://schemas.openxmlformats.org/package/2006/relationships"><Relationship Id="rId1" Type="http://schemas.openxmlformats.org/officeDocument/2006/relationships/oleObject" Target="file:///D:\ACTIV\ODIT\&#1044;&#1050;&#1062;%20&#1063;&#1040;&#1049;&#1050;&#1040;\2021\&#1054;&#1055;_2021\&#1043;&#1060;&#1054;_2021%20&#1063;&#1072;&#1081;&#1082;&#1072;\&#1054;&#1050;_&#1043;&#1044;&#1044;%20&#1085;&#1072;%20&#1044;&#1050;&#1062;%20&#1063;&#1072;&#1081;&#1082;&#1072;%20&#1048;&#1079;&#1095;&#1080;&#1089;&#1083;&#1080;&#1090;&#1077;&#1083;&#1085;&#1080;%20&#1090;&#1072;&#1073;&#1083;&#1080;&#1094;&#1080;%202021%20&#1075;..xlsx" TargetMode="External"/></Relationships>
</file>

<file path=word/charts/_rels/chart19.xml.rels><?xml version="1.0" encoding="UTF-8" standalone="yes"?>
<Relationships xmlns="http://schemas.openxmlformats.org/package/2006/relationships"><Relationship Id="rId1" Type="http://schemas.openxmlformats.org/officeDocument/2006/relationships/oleObject" Target="file:///D:\ACTIV\ODIT\&#1044;&#1050;&#1062;%20&#1063;&#1040;&#1049;&#1050;&#1040;\2021\&#1054;&#1055;_2021\&#1043;&#1060;&#1054;_2021%20&#1063;&#1072;&#1081;&#1082;&#1072;\&#1054;&#1050;_&#1043;&#1044;&#1044;%20&#1085;&#1072;%20&#1044;&#1050;&#1062;%20&#1063;&#1072;&#1081;&#1082;&#1072;%20&#1048;&#1079;&#1095;&#1080;&#1089;&#1083;&#1080;&#1090;&#1077;&#1083;&#1085;&#1080;%20&#1090;&#1072;&#1073;&#1083;&#1080;&#1094;&#1080;%202021%20&#1075;..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D:\ACTIV\ODIT\&#1044;&#1050;&#1062;%20&#1063;&#1040;&#1049;&#1050;&#1040;\2021\&#1054;&#1055;_2021\&#1043;&#1060;&#1054;_2021%20&#1063;&#1072;&#1081;&#1082;&#1072;\&#1043;&#1044;&#1044;%20&#1085;&#1072;%20&#1044;&#1050;&#1062;%20&#1063;&#1072;&#1081;&#1082;&#1072;%20&#1048;&#1079;&#1095;&#1080;&#1089;&#1083;&#1080;&#1090;&#1077;&#1083;&#1085;&#1080;%20&#1090;&#1072;&#1073;&#1083;&#1080;&#1094;&#1080;%202021%20&#1075;..xlsx" TargetMode="External"/></Relationships>
</file>

<file path=word/charts/_rels/chart20.xml.rels><?xml version="1.0" encoding="UTF-8" standalone="yes"?>
<Relationships xmlns="http://schemas.openxmlformats.org/package/2006/relationships"><Relationship Id="rId1" Type="http://schemas.openxmlformats.org/officeDocument/2006/relationships/oleObject" Target="file:///D:\ACTIV\ODIT\&#1044;&#1050;&#1062;%20&#1063;&#1040;&#1049;&#1050;&#1040;\2021\&#1054;&#1055;_2021\&#1043;&#1060;&#1054;_2021%20&#1063;&#1072;&#1081;&#1082;&#1072;\&#1054;&#1050;_&#1043;&#1044;&#1044;%20&#1085;&#1072;%20&#1044;&#1050;&#1062;%20&#1063;&#1072;&#1081;&#1082;&#1072;%20&#1048;&#1079;&#1095;&#1080;&#1089;&#1083;&#1080;&#1090;&#1077;&#1083;&#1085;&#1080;%20&#1090;&#1072;&#1073;&#1083;&#1080;&#1094;&#1080;%202021%20&#1075;..xlsx" TargetMode="External"/></Relationships>
</file>

<file path=word/charts/_rels/chart21.xml.rels><?xml version="1.0" encoding="UTF-8" standalone="yes"?>
<Relationships xmlns="http://schemas.openxmlformats.org/package/2006/relationships"><Relationship Id="rId1" Type="http://schemas.openxmlformats.org/officeDocument/2006/relationships/oleObject" Target="file:///D:\ACTIV\ODIT\&#1044;&#1050;&#1062;%20&#1063;&#1040;&#1049;&#1050;&#1040;\2021\&#1054;&#1055;_2021\&#1043;&#1060;&#1054;_2021%20&#1063;&#1072;&#1081;&#1082;&#1072;\&#1054;&#1050;_&#1043;&#1044;&#1044;%20&#1085;&#1072;%20&#1044;&#1050;&#1062;%20&#1063;&#1072;&#1081;&#1082;&#1072;%20&#1048;&#1079;&#1095;&#1080;&#1089;&#1083;&#1080;&#1090;&#1077;&#1083;&#1085;&#1080;%20&#1090;&#1072;&#1073;&#1083;&#1080;&#1094;&#1080;%202021%20&#1075;..xlsx" TargetMode="External"/></Relationships>
</file>

<file path=word/charts/_rels/chart22.xml.rels><?xml version="1.0" encoding="UTF-8" standalone="yes"?>
<Relationships xmlns="http://schemas.openxmlformats.org/package/2006/relationships"><Relationship Id="rId1" Type="http://schemas.openxmlformats.org/officeDocument/2006/relationships/oleObject" Target="file:///D:\ACTIV\ODIT\&#1044;&#1050;&#1062;%20&#1063;&#1040;&#1049;&#1050;&#1040;\2021\&#1054;&#1055;_2021\&#1043;&#1060;&#1054;_2021%20&#1063;&#1072;&#1081;&#1082;&#1072;\&#1054;&#1050;_&#1043;&#1044;&#1044;%20&#1085;&#1072;%20&#1044;&#1050;&#1062;%20&#1063;&#1072;&#1081;&#1082;&#1072;%20&#1048;&#1079;&#1095;&#1080;&#1089;&#1083;&#1080;&#1090;&#1077;&#1083;&#1085;&#1080;%20&#1090;&#1072;&#1073;&#1083;&#1080;&#1094;&#1080;%202021%20&#1075;..xlsx" TargetMode="External"/></Relationships>
</file>

<file path=word/charts/_rels/chart23.xml.rels><?xml version="1.0" encoding="UTF-8" standalone="yes"?>
<Relationships xmlns="http://schemas.openxmlformats.org/package/2006/relationships"><Relationship Id="rId1" Type="http://schemas.openxmlformats.org/officeDocument/2006/relationships/oleObject" Target="file:///D:\ACTIV\ODIT\&#1044;&#1050;&#1062;%20&#1063;&#1040;&#1049;&#1050;&#1040;\2021\&#1054;&#1055;_2021\&#1043;&#1060;&#1054;_2021%20&#1063;&#1072;&#1081;&#1082;&#1072;\&#1054;&#1050;_&#1043;&#1044;&#1044;%20&#1085;&#1072;%20&#1044;&#1050;&#1062;%20&#1063;&#1072;&#1081;&#1082;&#1072;%20&#1048;&#1079;&#1095;&#1080;&#1089;&#1083;&#1080;&#1090;&#1077;&#1083;&#1085;&#1080;%20&#1090;&#1072;&#1073;&#1083;&#1080;&#1094;&#1080;%202021%20&#1075;..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D:\ACTIV\ODIT\&#1044;&#1050;&#1062;%20&#1063;&#1040;&#1049;&#1050;&#1040;\2021\&#1054;&#1055;_2021\&#1043;&#1060;&#1054;_2021%20&#1063;&#1072;&#1081;&#1082;&#1072;\&#1043;&#1044;&#1044;%20&#1085;&#1072;%20&#1044;&#1050;&#1062;%20&#1063;&#1072;&#1081;&#1082;&#1072;%20&#1048;&#1079;&#1095;&#1080;&#1089;&#1083;&#1080;&#1090;&#1077;&#1083;&#1085;&#1080;%20&#1090;&#1072;&#1073;&#1083;&#1080;&#1094;&#1080;%202021%20&#1075;..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D:\ACTIV\ODIT\&#1044;&#1050;&#1062;%20&#1063;&#1040;&#1049;&#1050;&#1040;\2021\&#1054;&#1055;_2021\&#1043;&#1060;&#1054;_2021%20&#1063;&#1072;&#1081;&#1082;&#1072;\&#1054;&#1050;_&#1043;&#1044;&#1044;%20&#1085;&#1072;%20&#1044;&#1050;&#1062;%20&#1063;&#1072;&#1081;&#1082;&#1072;%20&#1048;&#1079;&#1095;&#1080;&#1089;&#1083;&#1080;&#1090;&#1077;&#1083;&#1085;&#1080;%20&#1090;&#1072;&#1073;&#1083;&#1080;&#1094;&#1080;%202021%20&#1075;..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D:\ACTIV\ODIT\&#1044;&#1050;&#1062;%20&#1063;&#1040;&#1049;&#1050;&#1040;\2021\&#1054;&#1055;_2021\&#1043;&#1060;&#1054;_2021%20&#1063;&#1072;&#1081;&#1082;&#1072;\&#1054;&#1050;_&#1043;&#1044;&#1044;%20&#1085;&#1072;%20&#1044;&#1050;&#1062;%20&#1063;&#1072;&#1081;&#1082;&#1072;%20&#1048;&#1079;&#1095;&#1080;&#1089;&#1083;&#1080;&#1090;&#1077;&#1083;&#1085;&#1080;%20&#1090;&#1072;&#1073;&#1083;&#1080;&#1094;&#1080;%202021%20&#1075;..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D:\ACTIV\ODIT\&#1044;&#1050;&#1062;%20&#1063;&#1040;&#1049;&#1050;&#1040;\2021\&#1054;&#1055;_2021\&#1043;&#1060;&#1054;_2021%20&#1063;&#1072;&#1081;&#1082;&#1072;\&#1054;&#1050;_&#1043;&#1044;&#1044;%20&#1085;&#1072;%20&#1044;&#1050;&#1062;%20&#1063;&#1072;&#1081;&#1082;&#1072;%20&#1048;&#1079;&#1095;&#1080;&#1089;&#1083;&#1080;&#1090;&#1077;&#1083;&#1085;&#1080;%20&#1090;&#1072;&#1073;&#1083;&#1080;&#1094;&#1080;%202021%20&#1075;..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D:\ACTIV\ODIT\&#1044;&#1050;&#1062;%20&#1063;&#1040;&#1049;&#1050;&#1040;\2021\&#1054;&#1055;_2021\&#1043;&#1060;&#1054;_2021%20&#1063;&#1072;&#1081;&#1082;&#1072;\&#1054;&#1050;_&#1043;&#1044;&#1044;%20&#1085;&#1072;%20&#1044;&#1050;&#1062;%20&#1063;&#1072;&#1081;&#1082;&#1072;%20&#1048;&#1079;&#1095;&#1080;&#1089;&#1083;&#1080;&#1090;&#1077;&#1083;&#1085;&#1080;%20&#1090;&#1072;&#1073;&#1083;&#1080;&#1094;&#1080;%202021%20&#1075;..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D:\ACTIV\ODIT\&#1044;&#1050;&#1062;%20&#1063;&#1040;&#1049;&#1050;&#1040;\2021\&#1054;&#1055;_2021\&#1043;&#1060;&#1054;_2021%20&#1063;&#1072;&#1081;&#1082;&#1072;\&#1054;&#1050;_&#1043;&#1044;&#1044;%20&#1085;&#1072;%20&#1044;&#1050;&#1062;%20&#1063;&#1072;&#1081;&#1082;&#1072;%20&#1048;&#1079;&#1095;&#1080;&#1089;&#1083;&#1080;&#1090;&#1077;&#1083;&#1085;&#1080;%20&#1090;&#1072;&#1073;&#1083;&#1080;&#1094;&#1080;%202021%20&#1075;..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D:\ACTIV\ODIT\&#1044;&#1050;&#1062;%20&#1063;&#1040;&#1049;&#1050;&#1040;\2021\&#1054;&#1055;_2021\&#1043;&#1060;&#1054;_2021%20&#1063;&#1072;&#1081;&#1082;&#1072;\&#1054;&#1050;_&#1043;&#1044;&#1044;%20&#1085;&#1072;%20&#1044;&#1050;&#1062;%20&#1063;&#1072;&#1081;&#1082;&#1072;%20&#1048;&#1079;&#1095;&#1080;&#1089;&#1083;&#1080;&#1090;&#1077;&#1083;&#1085;&#1080;%20&#1090;&#1072;&#1073;&#1083;&#1080;&#1094;&#1080;%202021%20&#1075;..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8"/>
    </mc:Choice>
    <mc:Fallback>
      <c:style val="8"/>
    </mc:Fallback>
  </mc:AlternateContent>
  <c:chart>
    <c:title>
      <c:tx>
        <c:rich>
          <a:bodyPr/>
          <a:lstStyle/>
          <a:p>
            <a:pPr>
              <a:defRPr sz="1050" b="1" i="0" u="none" strike="noStrike" baseline="0">
                <a:solidFill>
                  <a:srgbClr val="000000"/>
                </a:solidFill>
                <a:latin typeface="Calibri"/>
                <a:ea typeface="Calibri"/>
                <a:cs typeface="Calibri"/>
              </a:defRPr>
            </a:pPr>
            <a:r>
              <a:rPr lang="bg-BG"/>
              <a:t>Реализирани приходи  от    продажби</a:t>
            </a:r>
          </a:p>
        </c:rich>
      </c:tx>
      <c:layout>
        <c:manualLayout>
          <c:xMode val="edge"/>
          <c:yMode val="edge"/>
          <c:x val="0.20164372931644417"/>
          <c:y val="4.1821546500235861E-2"/>
        </c:manualLayout>
      </c:layout>
      <c:overlay val="0"/>
    </c:title>
    <c:autoTitleDeleted val="0"/>
    <c:view3D>
      <c:rotX val="15"/>
      <c:hPercent val="65"/>
      <c:rotY val="20"/>
      <c:depthPercent val="100"/>
      <c:rAngAx val="1"/>
    </c:view3D>
    <c:floor>
      <c:thickness val="0"/>
    </c:floor>
    <c:sideWall>
      <c:thickness val="0"/>
    </c:sideWall>
    <c:backWall>
      <c:thickness val="0"/>
    </c:backWall>
    <c:plotArea>
      <c:layout>
        <c:manualLayout>
          <c:layoutTarget val="inner"/>
          <c:xMode val="edge"/>
          <c:yMode val="edge"/>
          <c:x val="7.0632034364866231E-2"/>
          <c:y val="0.16616338711319142"/>
          <c:w val="0.7156140323808815"/>
          <c:h val="0.71299198834023958"/>
        </c:manualLayout>
      </c:layout>
      <c:bar3DChart>
        <c:barDir val="col"/>
        <c:grouping val="clustered"/>
        <c:varyColors val="0"/>
        <c:ser>
          <c:idx val="2"/>
          <c:order val="0"/>
          <c:tx>
            <c:strRef>
              <c:f>'harakteristika na deynostta'!$A$4</c:f>
              <c:strCache>
                <c:ptCount val="1"/>
                <c:pt idx="0">
                  <c:v>Приходи от медицински услуги </c:v>
                </c:pt>
              </c:strCache>
            </c:strRef>
          </c:tx>
          <c:invertIfNegative val="0"/>
          <c:cat>
            <c:numRef>
              <c:f>'harakteristika na deynostta'!$B$3:$C$3</c:f>
              <c:numCache>
                <c:formatCode>General</c:formatCode>
                <c:ptCount val="2"/>
                <c:pt idx="0">
                  <c:v>2021</c:v>
                </c:pt>
                <c:pt idx="1">
                  <c:v>2020</c:v>
                </c:pt>
              </c:numCache>
            </c:numRef>
          </c:cat>
          <c:val>
            <c:numRef>
              <c:f>'harakteristika na deynostta'!$B$4:$C$4</c:f>
              <c:numCache>
                <c:formatCode>General</c:formatCode>
                <c:ptCount val="2"/>
                <c:pt idx="0">
                  <c:v>2153</c:v>
                </c:pt>
                <c:pt idx="1">
                  <c:v>1733</c:v>
                </c:pt>
              </c:numCache>
            </c:numRef>
          </c:val>
          <c:extLst xmlns:c16r2="http://schemas.microsoft.com/office/drawing/2015/06/chart">
            <c:ext xmlns:c16="http://schemas.microsoft.com/office/drawing/2014/chart" uri="{C3380CC4-5D6E-409C-BE32-E72D297353CC}">
              <c16:uniqueId val="{00000000-68EB-4383-9FA6-74021924532E}"/>
            </c:ext>
          </c:extLst>
        </c:ser>
        <c:ser>
          <c:idx val="0"/>
          <c:order val="1"/>
          <c:tx>
            <c:strRef>
              <c:f>'harakteristika na deynostta'!$A$5</c:f>
              <c:strCache>
                <c:ptCount val="1"/>
                <c:pt idx="0">
                  <c:v>Наеми </c:v>
                </c:pt>
              </c:strCache>
            </c:strRef>
          </c:tx>
          <c:invertIfNegative val="0"/>
          <c:cat>
            <c:numRef>
              <c:f>'harakteristika na deynostta'!$B$3:$C$3</c:f>
              <c:numCache>
                <c:formatCode>General</c:formatCode>
                <c:ptCount val="2"/>
                <c:pt idx="0">
                  <c:v>2021</c:v>
                </c:pt>
                <c:pt idx="1">
                  <c:v>2020</c:v>
                </c:pt>
              </c:numCache>
            </c:numRef>
          </c:cat>
          <c:val>
            <c:numRef>
              <c:f>'harakteristika na deynostta'!$B$5:$C$5</c:f>
              <c:numCache>
                <c:formatCode>General</c:formatCode>
                <c:ptCount val="2"/>
                <c:pt idx="0">
                  <c:v>80</c:v>
                </c:pt>
                <c:pt idx="1">
                  <c:v>83</c:v>
                </c:pt>
              </c:numCache>
            </c:numRef>
          </c:val>
          <c:extLst xmlns:c16r2="http://schemas.microsoft.com/office/drawing/2015/06/chart">
            <c:ext xmlns:c16="http://schemas.microsoft.com/office/drawing/2014/chart" uri="{C3380CC4-5D6E-409C-BE32-E72D297353CC}">
              <c16:uniqueId val="{00000001-68EB-4383-9FA6-74021924532E}"/>
            </c:ext>
          </c:extLst>
        </c:ser>
        <c:ser>
          <c:idx val="3"/>
          <c:order val="2"/>
          <c:tx>
            <c:strRef>
              <c:f>'harakteristika na deynostta'!$A$6</c:f>
              <c:strCache>
                <c:ptCount val="1"/>
                <c:pt idx="0">
                  <c:v>Приходи от финансиране </c:v>
                </c:pt>
              </c:strCache>
            </c:strRef>
          </c:tx>
          <c:invertIfNegative val="0"/>
          <c:cat>
            <c:numRef>
              <c:f>'harakteristika na deynostta'!$B$3:$C$3</c:f>
              <c:numCache>
                <c:formatCode>General</c:formatCode>
                <c:ptCount val="2"/>
                <c:pt idx="0">
                  <c:v>2021</c:v>
                </c:pt>
                <c:pt idx="1">
                  <c:v>2020</c:v>
                </c:pt>
              </c:numCache>
            </c:numRef>
          </c:cat>
          <c:val>
            <c:numRef>
              <c:f>'harakteristika na deynostta'!$B$6:$C$6</c:f>
              <c:numCache>
                <c:formatCode>General</c:formatCode>
                <c:ptCount val="2"/>
                <c:pt idx="0">
                  <c:v>35</c:v>
                </c:pt>
                <c:pt idx="1">
                  <c:v>39</c:v>
                </c:pt>
              </c:numCache>
            </c:numRef>
          </c:val>
          <c:extLst xmlns:c16r2="http://schemas.microsoft.com/office/drawing/2015/06/chart">
            <c:ext xmlns:c16="http://schemas.microsoft.com/office/drawing/2014/chart" uri="{C3380CC4-5D6E-409C-BE32-E72D297353CC}">
              <c16:uniqueId val="{00000002-68EB-4383-9FA6-74021924532E}"/>
            </c:ext>
          </c:extLst>
        </c:ser>
        <c:ser>
          <c:idx val="4"/>
          <c:order val="3"/>
          <c:tx>
            <c:strRef>
              <c:f>'harakteristika na deynostta'!$A$8</c:f>
              <c:strCache>
                <c:ptCount val="1"/>
                <c:pt idx="0">
                  <c:v>Общо приходи от продажби</c:v>
                </c:pt>
              </c:strCache>
            </c:strRef>
          </c:tx>
          <c:invertIfNegative val="0"/>
          <c:cat>
            <c:numRef>
              <c:f>'harakteristika na deynostta'!$B$3:$C$3</c:f>
              <c:numCache>
                <c:formatCode>General</c:formatCode>
                <c:ptCount val="2"/>
                <c:pt idx="0">
                  <c:v>2021</c:v>
                </c:pt>
                <c:pt idx="1">
                  <c:v>2020</c:v>
                </c:pt>
              </c:numCache>
            </c:numRef>
          </c:cat>
          <c:val>
            <c:numRef>
              <c:f>'harakteristika na deynostta'!$B$8:$C$8</c:f>
              <c:numCache>
                <c:formatCode>General</c:formatCode>
                <c:ptCount val="2"/>
                <c:pt idx="0">
                  <c:v>2292</c:v>
                </c:pt>
                <c:pt idx="1">
                  <c:v>1880</c:v>
                </c:pt>
              </c:numCache>
            </c:numRef>
          </c:val>
          <c:extLst xmlns:c16r2="http://schemas.microsoft.com/office/drawing/2015/06/chart">
            <c:ext xmlns:c16="http://schemas.microsoft.com/office/drawing/2014/chart" uri="{C3380CC4-5D6E-409C-BE32-E72D297353CC}">
              <c16:uniqueId val="{00000003-68EB-4383-9FA6-74021924532E}"/>
            </c:ext>
          </c:extLst>
        </c:ser>
        <c:ser>
          <c:idx val="5"/>
          <c:order val="4"/>
          <c:tx>
            <c:strRef>
              <c:f>'harakteristika na deynostta'!$A$9</c:f>
              <c:strCache>
                <c:ptCount val="1"/>
              </c:strCache>
            </c:strRef>
          </c:tx>
          <c:invertIfNegative val="0"/>
          <c:cat>
            <c:numRef>
              <c:f>'harakteristika na deynostta'!$B$3:$C$3</c:f>
              <c:numCache>
                <c:formatCode>General</c:formatCode>
                <c:ptCount val="2"/>
                <c:pt idx="0">
                  <c:v>2021</c:v>
                </c:pt>
                <c:pt idx="1">
                  <c:v>2020</c:v>
                </c:pt>
              </c:numCache>
            </c:numRef>
          </c:cat>
          <c:val>
            <c:numRef>
              <c:f>'harakteristika na deynostta'!$B$9:$C$9</c:f>
              <c:numCache>
                <c:formatCode>General</c:formatCode>
                <c:ptCount val="2"/>
              </c:numCache>
            </c:numRef>
          </c:val>
          <c:extLst xmlns:c16r2="http://schemas.microsoft.com/office/drawing/2015/06/chart">
            <c:ext xmlns:c16="http://schemas.microsoft.com/office/drawing/2014/chart" uri="{C3380CC4-5D6E-409C-BE32-E72D297353CC}">
              <c16:uniqueId val="{00000004-68EB-4383-9FA6-74021924532E}"/>
            </c:ext>
          </c:extLst>
        </c:ser>
        <c:ser>
          <c:idx val="6"/>
          <c:order val="5"/>
          <c:tx>
            <c:strRef>
              <c:f>'harakteristika na deynostta'!$A$10</c:f>
              <c:strCache>
                <c:ptCount val="1"/>
              </c:strCache>
            </c:strRef>
          </c:tx>
          <c:invertIfNegative val="0"/>
          <c:cat>
            <c:numRef>
              <c:f>'harakteristika na deynostta'!$B$3:$C$3</c:f>
              <c:numCache>
                <c:formatCode>General</c:formatCode>
                <c:ptCount val="2"/>
                <c:pt idx="0">
                  <c:v>2021</c:v>
                </c:pt>
                <c:pt idx="1">
                  <c:v>2020</c:v>
                </c:pt>
              </c:numCache>
            </c:numRef>
          </c:cat>
          <c:val>
            <c:numRef>
              <c:f>'harakteristika na deynostta'!$B$10:$C$10</c:f>
              <c:numCache>
                <c:formatCode>General</c:formatCode>
                <c:ptCount val="2"/>
              </c:numCache>
            </c:numRef>
          </c:val>
          <c:extLst xmlns:c16r2="http://schemas.microsoft.com/office/drawing/2015/06/chart">
            <c:ext xmlns:c16="http://schemas.microsoft.com/office/drawing/2014/chart" uri="{C3380CC4-5D6E-409C-BE32-E72D297353CC}">
              <c16:uniqueId val="{00000005-68EB-4383-9FA6-74021924532E}"/>
            </c:ext>
          </c:extLst>
        </c:ser>
        <c:ser>
          <c:idx val="7"/>
          <c:order val="6"/>
          <c:tx>
            <c:strRef>
              <c:f>'harakteristika na deynostta'!$A$11</c:f>
              <c:strCache>
                <c:ptCount val="1"/>
              </c:strCache>
            </c:strRef>
          </c:tx>
          <c:invertIfNegative val="0"/>
          <c:dPt>
            <c:idx val="0"/>
            <c:invertIfNegative val="0"/>
            <c:bubble3D val="0"/>
            <c:extLst xmlns:c16r2="http://schemas.microsoft.com/office/drawing/2015/06/chart">
              <c:ext xmlns:c16="http://schemas.microsoft.com/office/drawing/2014/chart" uri="{C3380CC4-5D6E-409C-BE32-E72D297353CC}">
                <c16:uniqueId val="{00000006-68EB-4383-9FA6-74021924532E}"/>
              </c:ext>
            </c:extLst>
          </c:dPt>
          <c:cat>
            <c:numRef>
              <c:f>'harakteristika na deynostta'!$B$3:$C$3</c:f>
              <c:numCache>
                <c:formatCode>General</c:formatCode>
                <c:ptCount val="2"/>
                <c:pt idx="0">
                  <c:v>2021</c:v>
                </c:pt>
                <c:pt idx="1">
                  <c:v>2020</c:v>
                </c:pt>
              </c:numCache>
            </c:numRef>
          </c:cat>
          <c:val>
            <c:numRef>
              <c:f>'harakteristika na deynostta'!$B$11:$C$11</c:f>
              <c:numCache>
                <c:formatCode>General</c:formatCode>
                <c:ptCount val="2"/>
              </c:numCache>
            </c:numRef>
          </c:val>
          <c:extLst xmlns:c16r2="http://schemas.microsoft.com/office/drawing/2015/06/chart">
            <c:ext xmlns:c16="http://schemas.microsoft.com/office/drawing/2014/chart" uri="{C3380CC4-5D6E-409C-BE32-E72D297353CC}">
              <c16:uniqueId val="{00000007-68EB-4383-9FA6-74021924532E}"/>
            </c:ext>
          </c:extLst>
        </c:ser>
        <c:dLbls>
          <c:showLegendKey val="0"/>
          <c:showVal val="0"/>
          <c:showCatName val="0"/>
          <c:showSerName val="0"/>
          <c:showPercent val="0"/>
          <c:showBubbleSize val="0"/>
        </c:dLbls>
        <c:gapWidth val="150"/>
        <c:shape val="pyramid"/>
        <c:axId val="68476416"/>
        <c:axId val="66551104"/>
        <c:axId val="0"/>
      </c:bar3DChart>
      <c:catAx>
        <c:axId val="68476416"/>
        <c:scaling>
          <c:orientation val="minMax"/>
        </c:scaling>
        <c:delete val="0"/>
        <c:axPos val="b"/>
        <c:numFmt formatCode="General" sourceLinked="1"/>
        <c:majorTickMark val="out"/>
        <c:minorTickMark val="none"/>
        <c:tickLblPos val="low"/>
        <c:txPr>
          <a:bodyPr rot="0" vert="horz"/>
          <a:lstStyle/>
          <a:p>
            <a:pPr>
              <a:defRPr sz="1000" b="0" i="0" u="none" strike="noStrike" baseline="0">
                <a:solidFill>
                  <a:srgbClr val="000000"/>
                </a:solidFill>
                <a:latin typeface="Calibri"/>
                <a:ea typeface="Calibri"/>
                <a:cs typeface="Calibri"/>
              </a:defRPr>
            </a:pPr>
            <a:endParaRPr lang="bg-BG"/>
          </a:p>
        </c:txPr>
        <c:crossAx val="66551104"/>
        <c:crosses val="autoZero"/>
        <c:auto val="1"/>
        <c:lblAlgn val="ctr"/>
        <c:lblOffset val="100"/>
        <c:tickLblSkip val="1"/>
        <c:tickMarkSkip val="1"/>
        <c:noMultiLvlLbl val="0"/>
      </c:catAx>
      <c:valAx>
        <c:axId val="66551104"/>
        <c:scaling>
          <c:orientation val="minMax"/>
        </c:scaling>
        <c:delete val="0"/>
        <c:axPos val="l"/>
        <c:majorGridlines/>
        <c:numFmt formatCode="General" sourceLinked="1"/>
        <c:majorTickMark val="out"/>
        <c:minorTickMark val="none"/>
        <c:tickLblPos val="nextTo"/>
        <c:txPr>
          <a:bodyPr rot="0" vert="horz"/>
          <a:lstStyle/>
          <a:p>
            <a:pPr>
              <a:defRPr sz="1000" b="0" i="0" u="none" strike="noStrike" baseline="0">
                <a:solidFill>
                  <a:srgbClr val="000000"/>
                </a:solidFill>
                <a:latin typeface="Calibri"/>
                <a:ea typeface="Calibri"/>
                <a:cs typeface="Calibri"/>
              </a:defRPr>
            </a:pPr>
            <a:endParaRPr lang="bg-BG"/>
          </a:p>
        </c:txPr>
        <c:crossAx val="68476416"/>
        <c:crosses val="autoZero"/>
        <c:crossBetween val="between"/>
      </c:valAx>
      <c:spPr>
        <a:noFill/>
        <a:ln w="25400">
          <a:noFill/>
        </a:ln>
      </c:spPr>
    </c:plotArea>
    <c:legend>
      <c:legendPos val="r"/>
      <c:layout>
        <c:manualLayout>
          <c:xMode val="edge"/>
          <c:yMode val="edge"/>
          <c:x val="0.78780181077266576"/>
          <c:y val="6.7258858069058292E-2"/>
          <c:w val="0.19525260396305294"/>
          <c:h val="0.91684443367821544"/>
        </c:manualLayout>
      </c:layout>
      <c:overlay val="0"/>
      <c:txPr>
        <a:bodyPr/>
        <a:lstStyle/>
        <a:p>
          <a:pPr>
            <a:defRPr sz="550" b="0" i="0" u="none" strike="noStrike" baseline="0">
              <a:solidFill>
                <a:srgbClr val="000000"/>
              </a:solidFill>
              <a:latin typeface="Calibri"/>
              <a:ea typeface="Calibri"/>
              <a:cs typeface="Calibri"/>
            </a:defRPr>
          </a:pPr>
          <a:endParaRPr lang="bg-BG"/>
        </a:p>
      </c:txPr>
    </c:legend>
    <c:plotVisOnly val="1"/>
    <c:dispBlanksAs val="gap"/>
    <c:showDLblsOverMax val="0"/>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chemeClr val="accent6">
          <a:lumMod val="75000"/>
        </a:schemeClr>
      </a:solidFill>
    </a:ln>
    <a:effectLst>
      <a:outerShdw blurRad="50800" dist="50800" dir="5400000" algn="ctr" rotWithShape="0">
        <a:schemeClr val="accent6">
          <a:lumMod val="20000"/>
          <a:lumOff val="80000"/>
        </a:schemeClr>
      </a:outerShdw>
    </a:effectLst>
  </c:spPr>
  <c:txPr>
    <a:bodyPr/>
    <a:lstStyle/>
    <a:p>
      <a:pPr>
        <a:defRPr sz="1000" b="0" i="0" u="none" strike="noStrike" baseline="0">
          <a:solidFill>
            <a:srgbClr val="000000"/>
          </a:solidFill>
          <a:latin typeface="Calibri"/>
          <a:ea typeface="Calibri"/>
          <a:cs typeface="Calibri"/>
        </a:defRPr>
      </a:pPr>
      <a:endParaRPr lang="bg-BG"/>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050" b="1" i="0" u="none" strike="noStrike" baseline="0">
                <a:solidFill>
                  <a:srgbClr val="000000"/>
                </a:solidFill>
                <a:latin typeface="Calibri"/>
                <a:ea typeface="Calibri"/>
                <a:cs typeface="Calibri"/>
              </a:defRPr>
            </a:pPr>
            <a:r>
              <a:rPr lang="bg-BG"/>
              <a:t>Стойност на 100% от собствения капитал</a:t>
            </a:r>
          </a:p>
        </c:rich>
      </c:tx>
      <c:overlay val="0"/>
    </c:title>
    <c:autoTitleDeleted val="0"/>
    <c:view3D>
      <c:rotX val="10"/>
      <c:hPercent val="60"/>
      <c:rotY val="18"/>
      <c:depthPercent val="100"/>
      <c:rAngAx val="1"/>
    </c:view3D>
    <c:floor>
      <c:thickness val="0"/>
    </c:floor>
    <c:sideWall>
      <c:thickness val="0"/>
    </c:sideWall>
    <c:backWall>
      <c:thickness val="0"/>
    </c:backWall>
    <c:plotArea>
      <c:layout/>
      <c:bar3DChart>
        <c:barDir val="col"/>
        <c:grouping val="clustered"/>
        <c:varyColors val="0"/>
        <c:ser>
          <c:idx val="0"/>
          <c:order val="0"/>
          <c:tx>
            <c:strRef>
              <c:f>'imushestvena stoynost'!$A$4</c:f>
              <c:strCache>
                <c:ptCount val="1"/>
                <c:pt idx="0">
                  <c:v>Стойност на 100% от собствения капитал</c:v>
                </c:pt>
              </c:strCache>
            </c:strRef>
          </c:tx>
          <c:spPr>
            <a:solidFill>
              <a:schemeClr val="accent6">
                <a:lumMod val="50000"/>
              </a:schemeClr>
            </a:solidFill>
          </c:spPr>
          <c:invertIfNegative val="0"/>
          <c:cat>
            <c:numRef>
              <c:f>'imushestvena stoynost'!$B$3:$C$3</c:f>
              <c:numCache>
                <c:formatCode>General</c:formatCode>
                <c:ptCount val="2"/>
                <c:pt idx="0">
                  <c:v>2021</c:v>
                </c:pt>
                <c:pt idx="1">
                  <c:v>2020</c:v>
                </c:pt>
              </c:numCache>
            </c:numRef>
          </c:cat>
          <c:val>
            <c:numRef>
              <c:f>'imushestvena stoynost'!$B$4:$C$4</c:f>
              <c:numCache>
                <c:formatCode>#,##0</c:formatCode>
                <c:ptCount val="2"/>
                <c:pt idx="0">
                  <c:v>418000</c:v>
                </c:pt>
                <c:pt idx="1">
                  <c:v>194000</c:v>
                </c:pt>
              </c:numCache>
            </c:numRef>
          </c:val>
          <c:shape val="pyramid"/>
          <c:extLst xmlns:c16r2="http://schemas.microsoft.com/office/drawing/2015/06/chart">
            <c:ext xmlns:c16="http://schemas.microsoft.com/office/drawing/2014/chart" uri="{C3380CC4-5D6E-409C-BE32-E72D297353CC}">
              <c16:uniqueId val="{00000000-95EB-4534-A92E-75923DCAD9D2}"/>
            </c:ext>
          </c:extLst>
        </c:ser>
        <c:dLbls>
          <c:showLegendKey val="0"/>
          <c:showVal val="0"/>
          <c:showCatName val="0"/>
          <c:showSerName val="0"/>
          <c:showPercent val="0"/>
          <c:showBubbleSize val="0"/>
        </c:dLbls>
        <c:gapWidth val="150"/>
        <c:shape val="box"/>
        <c:axId val="68475392"/>
        <c:axId val="560768704"/>
        <c:axId val="0"/>
      </c:bar3DChart>
      <c:catAx>
        <c:axId val="68475392"/>
        <c:scaling>
          <c:orientation val="minMax"/>
        </c:scaling>
        <c:delete val="0"/>
        <c:axPos val="b"/>
        <c:numFmt formatCode="General" sourceLinked="1"/>
        <c:majorTickMark val="none"/>
        <c:minorTickMark val="none"/>
        <c:tickLblPos val="low"/>
        <c:txPr>
          <a:bodyPr rot="0" vert="horz"/>
          <a:lstStyle/>
          <a:p>
            <a:pPr>
              <a:defRPr sz="1000" b="0" i="0" u="none" strike="noStrike" baseline="0">
                <a:solidFill>
                  <a:srgbClr val="000000"/>
                </a:solidFill>
                <a:latin typeface="Calibri"/>
                <a:ea typeface="Calibri"/>
                <a:cs typeface="Calibri"/>
              </a:defRPr>
            </a:pPr>
            <a:endParaRPr lang="bg-BG"/>
          </a:p>
        </c:txPr>
        <c:crossAx val="560768704"/>
        <c:crosses val="autoZero"/>
        <c:auto val="1"/>
        <c:lblAlgn val="ctr"/>
        <c:lblOffset val="100"/>
        <c:tickLblSkip val="1"/>
        <c:tickMarkSkip val="1"/>
        <c:noMultiLvlLbl val="0"/>
      </c:catAx>
      <c:valAx>
        <c:axId val="560768704"/>
        <c:scaling>
          <c:orientation val="minMax"/>
        </c:scaling>
        <c:delete val="0"/>
        <c:axPos val="l"/>
        <c:majorGridlines/>
        <c:numFmt formatCode="#,##0"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bg-BG"/>
          </a:p>
        </c:txPr>
        <c:crossAx val="68475392"/>
        <c:crosses val="autoZero"/>
        <c:crossBetween val="between"/>
      </c:valAx>
      <c:spPr>
        <a:noFill/>
        <a:ln w="25400">
          <a:noFill/>
        </a:ln>
      </c:spPr>
    </c:plotArea>
    <c:legend>
      <c:legendPos val="r"/>
      <c:layout>
        <c:manualLayout>
          <c:xMode val="edge"/>
          <c:yMode val="edge"/>
          <c:x val="0.72339411996770375"/>
          <c:y val="0.49163737842409877"/>
          <c:w val="0.25438034987875296"/>
          <c:h val="0.12849613299720763"/>
        </c:manualLayout>
      </c:layout>
      <c:overlay val="0"/>
      <c:txPr>
        <a:bodyPr/>
        <a:lstStyle/>
        <a:p>
          <a:pPr>
            <a:defRPr sz="920" b="0" i="0" u="none" strike="noStrike" baseline="0">
              <a:solidFill>
                <a:srgbClr val="000000"/>
              </a:solidFill>
              <a:latin typeface="Calibri"/>
              <a:ea typeface="Calibri"/>
              <a:cs typeface="Calibri"/>
            </a:defRPr>
          </a:pPr>
          <a:endParaRPr lang="bg-BG"/>
        </a:p>
      </c:txPr>
    </c:legend>
    <c:plotVisOnly val="1"/>
    <c:dispBlanksAs val="gap"/>
    <c:showDLblsOverMax val="0"/>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chemeClr val="accent6">
          <a:lumMod val="75000"/>
        </a:schemeClr>
      </a:solidFill>
    </a:ln>
    <a:effectLst>
      <a:outerShdw blurRad="50800" dist="38100" dir="5400000" algn="t" rotWithShape="0">
        <a:schemeClr val="accent6">
          <a:lumMod val="20000"/>
          <a:lumOff val="80000"/>
          <a:alpha val="40000"/>
        </a:schemeClr>
      </a:outerShdw>
    </a:effectLst>
  </c:spPr>
  <c:txPr>
    <a:bodyPr/>
    <a:lstStyle/>
    <a:p>
      <a:pPr>
        <a:defRPr sz="1000" b="0" i="0" u="none" strike="noStrike" baseline="0">
          <a:solidFill>
            <a:srgbClr val="000000"/>
          </a:solidFill>
          <a:latin typeface="Calibri"/>
          <a:ea typeface="Calibri"/>
          <a:cs typeface="Calibri"/>
        </a:defRPr>
      </a:pPr>
      <a:endParaRPr lang="bg-BG"/>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13"/>
    </mc:Choice>
    <mc:Fallback>
      <c:style val="13"/>
    </mc:Fallback>
  </mc:AlternateContent>
  <c:chart>
    <c:title>
      <c:tx>
        <c:rich>
          <a:bodyPr/>
          <a:lstStyle/>
          <a:p>
            <a:pPr>
              <a:defRPr sz="1050" b="1" i="0" u="none" strike="noStrike" baseline="0">
                <a:solidFill>
                  <a:srgbClr val="000000"/>
                </a:solidFill>
                <a:latin typeface="Calibri"/>
                <a:ea typeface="Calibri"/>
                <a:cs typeface="Calibri"/>
              </a:defRPr>
            </a:pPr>
            <a:r>
              <a:rPr lang="bg-BG"/>
              <a:t>Стойност на 1 дял</a:t>
            </a:r>
          </a:p>
        </c:rich>
      </c:tx>
      <c:layout>
        <c:manualLayout>
          <c:xMode val="edge"/>
          <c:yMode val="edge"/>
          <c:x val="0.37553292600135774"/>
          <c:y val="5.8181818181818182E-2"/>
        </c:manualLayout>
      </c:layout>
      <c:overlay val="0"/>
    </c:title>
    <c:autoTitleDeleted val="0"/>
    <c:view3D>
      <c:rotX val="9"/>
      <c:hPercent val="72"/>
      <c:rotY val="16"/>
      <c:depthPercent val="100"/>
      <c:rAngAx val="1"/>
    </c:view3D>
    <c:floor>
      <c:thickness val="0"/>
    </c:floor>
    <c:sideWall>
      <c:thickness val="0"/>
    </c:sideWall>
    <c:backWall>
      <c:thickness val="0"/>
    </c:backWall>
    <c:plotArea>
      <c:layout/>
      <c:bar3DChart>
        <c:barDir val="col"/>
        <c:grouping val="clustered"/>
        <c:varyColors val="0"/>
        <c:ser>
          <c:idx val="0"/>
          <c:order val="0"/>
          <c:tx>
            <c:strRef>
              <c:f>'imushestvena stoynost'!$A$11</c:f>
              <c:strCache>
                <c:ptCount val="1"/>
                <c:pt idx="0">
                  <c:v>Стойност на 1 дял</c:v>
                </c:pt>
              </c:strCache>
            </c:strRef>
          </c:tx>
          <c:spPr>
            <a:solidFill>
              <a:schemeClr val="accent6">
                <a:lumMod val="75000"/>
              </a:schemeClr>
            </a:solidFill>
          </c:spPr>
          <c:invertIfNegative val="0"/>
          <c:cat>
            <c:numRef>
              <c:f>'imushestvena stoynost'!$B$10:$C$10</c:f>
              <c:numCache>
                <c:formatCode>General</c:formatCode>
                <c:ptCount val="2"/>
                <c:pt idx="0">
                  <c:v>2021</c:v>
                </c:pt>
                <c:pt idx="1">
                  <c:v>2020</c:v>
                </c:pt>
              </c:numCache>
            </c:numRef>
          </c:cat>
          <c:val>
            <c:numRef>
              <c:f>'imushestvena stoynost'!$B$11:$C$11</c:f>
              <c:numCache>
                <c:formatCode>#,##0</c:formatCode>
                <c:ptCount val="2"/>
                <c:pt idx="0">
                  <c:v>132.82491261518908</c:v>
                </c:pt>
                <c:pt idx="1">
                  <c:v>61.646012074992058</c:v>
                </c:pt>
              </c:numCache>
            </c:numRef>
          </c:val>
          <c:shape val="pyramid"/>
          <c:extLst xmlns:c16r2="http://schemas.microsoft.com/office/drawing/2015/06/chart">
            <c:ext xmlns:c16="http://schemas.microsoft.com/office/drawing/2014/chart" uri="{C3380CC4-5D6E-409C-BE32-E72D297353CC}">
              <c16:uniqueId val="{00000000-A1B0-42B5-9EAB-809B83E096EF}"/>
            </c:ext>
          </c:extLst>
        </c:ser>
        <c:dLbls>
          <c:showLegendKey val="0"/>
          <c:showVal val="0"/>
          <c:showCatName val="0"/>
          <c:showSerName val="0"/>
          <c:showPercent val="0"/>
          <c:showBubbleSize val="0"/>
        </c:dLbls>
        <c:gapWidth val="150"/>
        <c:shape val="box"/>
        <c:axId val="96956416"/>
        <c:axId val="560770432"/>
        <c:axId val="0"/>
      </c:bar3DChart>
      <c:catAx>
        <c:axId val="96956416"/>
        <c:scaling>
          <c:orientation val="minMax"/>
        </c:scaling>
        <c:delete val="0"/>
        <c:axPos val="b"/>
        <c:numFmt formatCode="General" sourceLinked="1"/>
        <c:majorTickMark val="none"/>
        <c:minorTickMark val="none"/>
        <c:tickLblPos val="low"/>
        <c:txPr>
          <a:bodyPr rot="0" vert="horz"/>
          <a:lstStyle/>
          <a:p>
            <a:pPr>
              <a:defRPr sz="1000" b="0" i="0" u="none" strike="noStrike" baseline="0">
                <a:solidFill>
                  <a:srgbClr val="000000"/>
                </a:solidFill>
                <a:latin typeface="Calibri"/>
                <a:ea typeface="Calibri"/>
                <a:cs typeface="Calibri"/>
              </a:defRPr>
            </a:pPr>
            <a:endParaRPr lang="bg-BG"/>
          </a:p>
        </c:txPr>
        <c:crossAx val="560770432"/>
        <c:crosses val="autoZero"/>
        <c:auto val="1"/>
        <c:lblAlgn val="ctr"/>
        <c:lblOffset val="100"/>
        <c:tickLblSkip val="1"/>
        <c:tickMarkSkip val="1"/>
        <c:noMultiLvlLbl val="0"/>
      </c:catAx>
      <c:valAx>
        <c:axId val="560770432"/>
        <c:scaling>
          <c:orientation val="minMax"/>
        </c:scaling>
        <c:delete val="0"/>
        <c:axPos val="l"/>
        <c:majorGridlines/>
        <c:numFmt formatCode="#,##0"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bg-BG"/>
          </a:p>
        </c:txPr>
        <c:crossAx val="96956416"/>
        <c:crosses val="autoZero"/>
        <c:crossBetween val="between"/>
      </c:valAx>
      <c:spPr>
        <a:noFill/>
        <a:ln w="25400">
          <a:noFill/>
        </a:ln>
      </c:spPr>
    </c:plotArea>
    <c:legend>
      <c:legendPos val="r"/>
      <c:layout>
        <c:manualLayout>
          <c:xMode val="edge"/>
          <c:yMode val="edge"/>
          <c:x val="0.75201190932906348"/>
          <c:y val="0.52036510988290774"/>
          <c:w val="0.22735243770413543"/>
          <c:h val="8.1397894283359876E-2"/>
        </c:manualLayout>
      </c:layout>
      <c:overlay val="0"/>
      <c:txPr>
        <a:bodyPr/>
        <a:lstStyle/>
        <a:p>
          <a:pPr>
            <a:defRPr sz="920" b="0" i="0" u="none" strike="noStrike" baseline="0">
              <a:solidFill>
                <a:srgbClr val="000000"/>
              </a:solidFill>
              <a:latin typeface="Calibri"/>
              <a:ea typeface="Calibri"/>
              <a:cs typeface="Calibri"/>
            </a:defRPr>
          </a:pPr>
          <a:endParaRPr lang="bg-BG"/>
        </a:p>
      </c:txPr>
    </c:legend>
    <c:plotVisOnly val="1"/>
    <c:dispBlanksAs val="gap"/>
    <c:showDLblsOverMax val="0"/>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chemeClr val="accent6">
          <a:lumMod val="75000"/>
        </a:schemeClr>
      </a:solidFill>
    </a:ln>
    <a:effectLst>
      <a:outerShdw blurRad="50800" dist="38100" dir="5400000" algn="t" rotWithShape="0">
        <a:schemeClr val="accent6">
          <a:lumMod val="20000"/>
          <a:lumOff val="80000"/>
          <a:alpha val="40000"/>
        </a:schemeClr>
      </a:outerShdw>
    </a:effectLst>
  </c:spPr>
  <c:txPr>
    <a:bodyPr/>
    <a:lstStyle/>
    <a:p>
      <a:pPr>
        <a:defRPr sz="1000" b="0" i="0" u="none" strike="noStrike" baseline="0">
          <a:solidFill>
            <a:srgbClr val="000000"/>
          </a:solidFill>
          <a:latin typeface="Calibri"/>
          <a:ea typeface="Calibri"/>
          <a:cs typeface="Calibri"/>
        </a:defRPr>
      </a:pPr>
      <a:endParaRPr lang="bg-BG"/>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16"/>
    </mc:Choice>
    <mc:Fallback>
      <c:style val="16"/>
    </mc:Fallback>
  </mc:AlternateContent>
  <c:chart>
    <c:title>
      <c:tx>
        <c:rich>
          <a:bodyPr/>
          <a:lstStyle/>
          <a:p>
            <a:pPr>
              <a:defRPr sz="1050" b="1" i="0" u="none" strike="noStrike" baseline="0">
                <a:solidFill>
                  <a:srgbClr val="000000"/>
                </a:solidFill>
                <a:latin typeface="Calibri"/>
                <a:ea typeface="Calibri"/>
                <a:cs typeface="Calibri"/>
              </a:defRPr>
            </a:pPr>
            <a:r>
              <a:rPr lang="bg-BG"/>
              <a:t>Разпределение на персонала по категории за 2021г.</a:t>
            </a:r>
          </a:p>
        </c:rich>
      </c:tx>
      <c:layout>
        <c:manualLayout>
          <c:xMode val="edge"/>
          <c:yMode val="edge"/>
          <c:x val="0.14574896015093086"/>
          <c:y val="3.5598673374997183E-2"/>
        </c:manualLayout>
      </c:layout>
      <c:overlay val="0"/>
    </c:title>
    <c:autoTitleDeleted val="0"/>
    <c:view3D>
      <c:rotX val="15"/>
      <c:rotY val="0"/>
      <c:rAngAx val="0"/>
      <c:perspective val="0"/>
    </c:view3D>
    <c:floor>
      <c:thickness val="0"/>
    </c:floor>
    <c:sideWall>
      <c:thickness val="0"/>
    </c:sideWall>
    <c:backWall>
      <c:thickness val="0"/>
    </c:backWall>
    <c:plotArea>
      <c:layout>
        <c:manualLayout>
          <c:layoutTarget val="inner"/>
          <c:xMode val="edge"/>
          <c:yMode val="edge"/>
          <c:x val="0.17345153534129909"/>
          <c:y val="0.18092691622103388"/>
          <c:w val="0.51327477986274528"/>
          <c:h val="0.30748663101604279"/>
        </c:manualLayout>
      </c:layout>
      <c:pie3DChart>
        <c:varyColors val="1"/>
        <c:ser>
          <c:idx val="0"/>
          <c:order val="0"/>
          <c:explosion val="17"/>
          <c:dPt>
            <c:idx val="0"/>
            <c:bubble3D val="0"/>
            <c:extLst xmlns:c16r2="http://schemas.microsoft.com/office/drawing/2015/06/chart">
              <c:ext xmlns:c16="http://schemas.microsoft.com/office/drawing/2014/chart" uri="{C3380CC4-5D6E-409C-BE32-E72D297353CC}">
                <c16:uniqueId val="{00000000-4657-4D61-8990-86CCF6C3D254}"/>
              </c:ext>
            </c:extLst>
          </c:dPt>
          <c:dPt>
            <c:idx val="1"/>
            <c:bubble3D val="0"/>
            <c:extLst xmlns:c16r2="http://schemas.microsoft.com/office/drawing/2015/06/chart">
              <c:ext xmlns:c16="http://schemas.microsoft.com/office/drawing/2014/chart" uri="{C3380CC4-5D6E-409C-BE32-E72D297353CC}">
                <c16:uniqueId val="{00000001-4657-4D61-8990-86CCF6C3D254}"/>
              </c:ext>
            </c:extLst>
          </c:dPt>
          <c:dPt>
            <c:idx val="2"/>
            <c:bubble3D val="0"/>
            <c:extLst xmlns:c16r2="http://schemas.microsoft.com/office/drawing/2015/06/chart">
              <c:ext xmlns:c16="http://schemas.microsoft.com/office/drawing/2014/chart" uri="{C3380CC4-5D6E-409C-BE32-E72D297353CC}">
                <c16:uniqueId val="{00000002-4657-4D61-8990-86CCF6C3D254}"/>
              </c:ext>
            </c:extLst>
          </c:dPt>
          <c:dPt>
            <c:idx val="3"/>
            <c:bubble3D val="0"/>
            <c:extLst xmlns:c16r2="http://schemas.microsoft.com/office/drawing/2015/06/chart">
              <c:ext xmlns:c16="http://schemas.microsoft.com/office/drawing/2014/chart" uri="{C3380CC4-5D6E-409C-BE32-E72D297353CC}">
                <c16:uniqueId val="{00000003-4657-4D61-8990-86CCF6C3D254}"/>
              </c:ext>
            </c:extLst>
          </c:dPt>
          <c:dPt>
            <c:idx val="4"/>
            <c:bubble3D val="0"/>
            <c:extLst xmlns:c16r2="http://schemas.microsoft.com/office/drawing/2015/06/chart">
              <c:ext xmlns:c16="http://schemas.microsoft.com/office/drawing/2014/chart" uri="{C3380CC4-5D6E-409C-BE32-E72D297353CC}">
                <c16:uniqueId val="{00000004-4657-4D61-8990-86CCF6C3D254}"/>
              </c:ext>
            </c:extLst>
          </c:dPt>
          <c:dPt>
            <c:idx val="5"/>
            <c:bubble3D val="0"/>
            <c:extLst xmlns:c16r2="http://schemas.microsoft.com/office/drawing/2015/06/chart">
              <c:ext xmlns:c16="http://schemas.microsoft.com/office/drawing/2014/chart" uri="{C3380CC4-5D6E-409C-BE32-E72D297353CC}">
                <c16:uniqueId val="{00000005-4657-4D61-8990-86CCF6C3D254}"/>
              </c:ext>
            </c:extLst>
          </c:dPt>
          <c:dPt>
            <c:idx val="6"/>
            <c:bubble3D val="0"/>
            <c:extLst xmlns:c16r2="http://schemas.microsoft.com/office/drawing/2015/06/chart">
              <c:ext xmlns:c16="http://schemas.microsoft.com/office/drawing/2014/chart" uri="{C3380CC4-5D6E-409C-BE32-E72D297353CC}">
                <c16:uniqueId val="{00000006-4657-4D61-8990-86CCF6C3D254}"/>
              </c:ext>
            </c:extLst>
          </c:dPt>
          <c:dPt>
            <c:idx val="7"/>
            <c:bubble3D val="0"/>
            <c:extLst xmlns:c16r2="http://schemas.microsoft.com/office/drawing/2015/06/chart">
              <c:ext xmlns:c16="http://schemas.microsoft.com/office/drawing/2014/chart" uri="{C3380CC4-5D6E-409C-BE32-E72D297353CC}">
                <c16:uniqueId val="{00000007-4657-4D61-8990-86CCF6C3D254}"/>
              </c:ext>
            </c:extLst>
          </c:dPt>
          <c:dPt>
            <c:idx val="8"/>
            <c:bubble3D val="0"/>
            <c:extLst xmlns:c16r2="http://schemas.microsoft.com/office/drawing/2015/06/chart">
              <c:ext xmlns:c16="http://schemas.microsoft.com/office/drawing/2014/chart" uri="{C3380CC4-5D6E-409C-BE32-E72D297353CC}">
                <c16:uniqueId val="{00000008-4657-4D61-8990-86CCF6C3D254}"/>
              </c:ext>
            </c:extLst>
          </c:dPt>
          <c:cat>
            <c:strRef>
              <c:f>'personal kategorii'!$A$5:$A$13</c:f>
              <c:strCache>
                <c:ptCount val="6"/>
                <c:pt idx="0">
                  <c:v>Ръководни служители</c:v>
                </c:pt>
                <c:pt idx="1">
                  <c:v>Аналитични специалисти</c:v>
                </c:pt>
                <c:pt idx="2">
                  <c:v>Приложни специалисти</c:v>
                </c:pt>
                <c:pt idx="3">
                  <c:v>Помощен персонал</c:v>
                </c:pt>
                <c:pt idx="4">
                  <c:v>Персонал зает  с услуги/оператори на машини</c:v>
                </c:pt>
                <c:pt idx="5">
                  <c:v>Нискоквалифицирани работници</c:v>
                </c:pt>
              </c:strCache>
            </c:strRef>
          </c:cat>
          <c:val>
            <c:numRef>
              <c:f>'personal kategorii'!$B$5:$B$13</c:f>
              <c:numCache>
                <c:formatCode>General</c:formatCode>
                <c:ptCount val="9"/>
                <c:pt idx="0">
                  <c:v>3</c:v>
                </c:pt>
                <c:pt idx="1">
                  <c:v>29.47</c:v>
                </c:pt>
                <c:pt idx="2">
                  <c:v>5.43</c:v>
                </c:pt>
                <c:pt idx="3">
                  <c:v>9.52</c:v>
                </c:pt>
                <c:pt idx="4">
                  <c:v>1</c:v>
                </c:pt>
                <c:pt idx="5">
                  <c:v>0.13</c:v>
                </c:pt>
              </c:numCache>
            </c:numRef>
          </c:val>
          <c:extLst xmlns:c16r2="http://schemas.microsoft.com/office/drawing/2015/06/chart">
            <c:ext xmlns:c16="http://schemas.microsoft.com/office/drawing/2014/chart" uri="{C3380CC4-5D6E-409C-BE32-E72D297353CC}">
              <c16:uniqueId val="{00000009-4657-4D61-8990-86CCF6C3D254}"/>
            </c:ext>
          </c:extLst>
        </c:ser>
        <c:dLbls>
          <c:showLegendKey val="0"/>
          <c:showVal val="0"/>
          <c:showCatName val="0"/>
          <c:showSerName val="0"/>
          <c:showPercent val="0"/>
          <c:showBubbleSize val="0"/>
          <c:showLeaderLines val="1"/>
        </c:dLbls>
      </c:pie3DChart>
      <c:spPr>
        <a:noFill/>
        <a:ln w="25400">
          <a:noFill/>
        </a:ln>
      </c:spPr>
    </c:plotArea>
    <c:legend>
      <c:legendPos val="r"/>
      <c:legendEntry>
        <c:idx val="2"/>
        <c:txPr>
          <a:bodyPr/>
          <a:lstStyle/>
          <a:p>
            <a:pPr>
              <a:defRPr sz="920" b="0" i="0" u="none" strike="noStrike" baseline="0">
                <a:solidFill>
                  <a:srgbClr val="000000"/>
                </a:solidFill>
                <a:latin typeface="Calibri"/>
                <a:ea typeface="Calibri"/>
                <a:cs typeface="Calibri"/>
              </a:defRPr>
            </a:pPr>
            <a:endParaRPr lang="bg-BG"/>
          </a:p>
        </c:txPr>
      </c:legendEntry>
      <c:layout>
        <c:manualLayout>
          <c:xMode val="edge"/>
          <c:yMode val="edge"/>
          <c:x val="1.8841174557824115E-2"/>
          <c:y val="0.47476339638485837"/>
          <c:w val="0.94205872789120559"/>
          <c:h val="0.51264345460705452"/>
        </c:manualLayout>
      </c:layout>
      <c:overlay val="0"/>
      <c:txPr>
        <a:bodyPr/>
        <a:lstStyle/>
        <a:p>
          <a:pPr>
            <a:defRPr sz="920" b="0" i="0" u="none" strike="noStrike" baseline="0">
              <a:solidFill>
                <a:srgbClr val="000000"/>
              </a:solidFill>
              <a:latin typeface="Calibri"/>
              <a:ea typeface="Calibri"/>
              <a:cs typeface="Calibri"/>
            </a:defRPr>
          </a:pPr>
          <a:endParaRPr lang="bg-BG"/>
        </a:p>
      </c:txPr>
    </c:legend>
    <c:plotVisOnly val="1"/>
    <c:dispBlanksAs val="zero"/>
    <c:showDLblsOverMax val="0"/>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chemeClr val="accent6">
          <a:lumMod val="75000"/>
        </a:schemeClr>
      </a:solidFill>
    </a:ln>
    <a:effectLst>
      <a:outerShdw blurRad="50800" dist="50800" dir="5400000" algn="ctr" rotWithShape="0">
        <a:schemeClr val="accent6">
          <a:lumMod val="20000"/>
          <a:lumOff val="80000"/>
        </a:schemeClr>
      </a:outerShdw>
    </a:effectLst>
  </c:spPr>
  <c:txPr>
    <a:bodyPr/>
    <a:lstStyle/>
    <a:p>
      <a:pPr>
        <a:defRPr sz="1000" b="0" i="0" u="none" strike="noStrike" baseline="0">
          <a:solidFill>
            <a:srgbClr val="000000"/>
          </a:solidFill>
          <a:latin typeface="Calibri"/>
          <a:ea typeface="Calibri"/>
          <a:cs typeface="Calibri"/>
        </a:defRPr>
      </a:pPr>
      <a:endParaRPr lang="bg-BG"/>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050" b="1" i="0" u="none" strike="noStrike" baseline="0">
                <a:solidFill>
                  <a:srgbClr val="000000"/>
                </a:solidFill>
                <a:latin typeface="Calibri"/>
                <a:ea typeface="Calibri"/>
                <a:cs typeface="Calibri"/>
              </a:defRPr>
            </a:pPr>
            <a:r>
              <a:rPr lang="bg-BG"/>
              <a:t>Производителност на труда
(нетни приходи от продажби спрямо 1 лице от средносписъчния състав на персонала)</a:t>
            </a:r>
          </a:p>
        </c:rich>
      </c:tx>
      <c:overlay val="0"/>
    </c:title>
    <c:autoTitleDeleted val="0"/>
    <c:view3D>
      <c:rotX val="15"/>
      <c:hPercent val="56"/>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'proizvoditelnost na truda'!$J$15</c:f>
              <c:strCache>
                <c:ptCount val="1"/>
                <c:pt idx="0">
                  <c:v>Производителност на труда </c:v>
                </c:pt>
              </c:strCache>
            </c:strRef>
          </c:tx>
          <c:spPr>
            <a:solidFill>
              <a:schemeClr val="accent6">
                <a:lumMod val="50000"/>
              </a:schemeClr>
            </a:solidFill>
          </c:spPr>
          <c:invertIfNegative val="0"/>
          <c:cat>
            <c:numRef>
              <c:f>'proizvoditelnost na truda'!$K$16:$L$16</c:f>
              <c:numCache>
                <c:formatCode>General</c:formatCode>
                <c:ptCount val="2"/>
                <c:pt idx="0">
                  <c:v>2021</c:v>
                </c:pt>
                <c:pt idx="1">
                  <c:v>2020</c:v>
                </c:pt>
              </c:numCache>
            </c:numRef>
          </c:cat>
          <c:val>
            <c:numRef>
              <c:f>'proizvoditelnost na truda'!$K$19:$L$19</c:f>
              <c:numCache>
                <c:formatCode>#,##0</c:formatCode>
                <c:ptCount val="2"/>
                <c:pt idx="0">
                  <c:v>58270.648815653956</c:v>
                </c:pt>
                <c:pt idx="1">
                  <c:v>47962.368692070027</c:v>
                </c:pt>
              </c:numCache>
            </c:numRef>
          </c:val>
          <c:shape val="pyramid"/>
          <c:extLst xmlns:c16r2="http://schemas.microsoft.com/office/drawing/2015/06/chart">
            <c:ext xmlns:c16="http://schemas.microsoft.com/office/drawing/2014/chart" uri="{C3380CC4-5D6E-409C-BE32-E72D297353CC}">
              <c16:uniqueId val="{00000000-311C-4A58-B978-E3D9BE349F0E}"/>
            </c:ext>
          </c:extLst>
        </c:ser>
        <c:dLbls>
          <c:showLegendKey val="0"/>
          <c:showVal val="0"/>
          <c:showCatName val="0"/>
          <c:showSerName val="0"/>
          <c:showPercent val="0"/>
          <c:showBubbleSize val="0"/>
        </c:dLbls>
        <c:gapWidth val="150"/>
        <c:shape val="box"/>
        <c:axId val="557357568"/>
        <c:axId val="560773312"/>
        <c:axId val="0"/>
      </c:bar3DChart>
      <c:catAx>
        <c:axId val="557357568"/>
        <c:scaling>
          <c:orientation val="minMax"/>
        </c:scaling>
        <c:delete val="0"/>
        <c:axPos val="b"/>
        <c:numFmt formatCode="General" sourceLinked="1"/>
        <c:majorTickMark val="none"/>
        <c:minorTickMark val="none"/>
        <c:tickLblPos val="low"/>
        <c:txPr>
          <a:bodyPr rot="0" vert="horz"/>
          <a:lstStyle/>
          <a:p>
            <a:pPr>
              <a:defRPr sz="1000" b="0" i="0" u="none" strike="noStrike" baseline="0">
                <a:solidFill>
                  <a:srgbClr val="000000"/>
                </a:solidFill>
                <a:latin typeface="Calibri"/>
                <a:ea typeface="Calibri"/>
                <a:cs typeface="Calibri"/>
              </a:defRPr>
            </a:pPr>
            <a:endParaRPr lang="bg-BG"/>
          </a:p>
        </c:txPr>
        <c:crossAx val="560773312"/>
        <c:crosses val="autoZero"/>
        <c:auto val="1"/>
        <c:lblAlgn val="ctr"/>
        <c:lblOffset val="100"/>
        <c:tickLblSkip val="1"/>
        <c:tickMarkSkip val="1"/>
        <c:noMultiLvlLbl val="0"/>
      </c:catAx>
      <c:valAx>
        <c:axId val="560773312"/>
        <c:scaling>
          <c:orientation val="minMax"/>
        </c:scaling>
        <c:delete val="0"/>
        <c:axPos val="l"/>
        <c:majorGridlines/>
        <c:numFmt formatCode="#,##0"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bg-BG"/>
          </a:p>
        </c:txPr>
        <c:crossAx val="557357568"/>
        <c:crosses val="autoZero"/>
        <c:crossBetween val="between"/>
      </c:valAx>
      <c:spPr>
        <a:noFill/>
        <a:ln w="25400">
          <a:noFill/>
        </a:ln>
      </c:spPr>
    </c:plotArea>
    <c:legend>
      <c:legendPos val="r"/>
      <c:layout>
        <c:manualLayout>
          <c:xMode val="edge"/>
          <c:yMode val="edge"/>
          <c:x val="0.64549013781733566"/>
          <c:y val="0.58501824760133558"/>
          <c:w val="0.33069445484237886"/>
          <c:h val="7.0002183473664104E-2"/>
        </c:manualLayout>
      </c:layout>
      <c:overlay val="0"/>
      <c:txPr>
        <a:bodyPr/>
        <a:lstStyle/>
        <a:p>
          <a:pPr>
            <a:defRPr sz="920" b="0" i="0" u="none" strike="noStrike" baseline="0">
              <a:solidFill>
                <a:srgbClr val="000000"/>
              </a:solidFill>
              <a:latin typeface="Calibri"/>
              <a:ea typeface="Calibri"/>
              <a:cs typeface="Calibri"/>
            </a:defRPr>
          </a:pPr>
          <a:endParaRPr lang="bg-BG"/>
        </a:p>
      </c:txPr>
    </c:legend>
    <c:plotVisOnly val="1"/>
    <c:dispBlanksAs val="gap"/>
    <c:showDLblsOverMax val="0"/>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chemeClr val="accent6">
          <a:lumMod val="75000"/>
        </a:schemeClr>
      </a:solidFill>
    </a:ln>
    <a:effectLst>
      <a:outerShdw blurRad="50800" dist="38100" dir="5400000" algn="t" rotWithShape="0">
        <a:schemeClr val="accent6">
          <a:lumMod val="20000"/>
          <a:lumOff val="80000"/>
          <a:alpha val="40000"/>
        </a:schemeClr>
      </a:outerShdw>
    </a:effectLst>
  </c:spPr>
  <c:txPr>
    <a:bodyPr/>
    <a:lstStyle/>
    <a:p>
      <a:pPr>
        <a:defRPr sz="1000" b="0" i="0" u="none" strike="noStrike" baseline="0">
          <a:solidFill>
            <a:srgbClr val="000000"/>
          </a:solidFill>
          <a:latin typeface="Calibri"/>
          <a:ea typeface="Calibri"/>
          <a:cs typeface="Calibri"/>
        </a:defRPr>
      </a:pPr>
      <a:endParaRPr lang="bg-BG"/>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050" b="1" i="0" u="none" strike="noStrike" baseline="0">
                <a:solidFill>
                  <a:srgbClr val="000000"/>
                </a:solidFill>
                <a:latin typeface="Calibri"/>
                <a:ea typeface="Calibri"/>
                <a:cs typeface="Calibri"/>
              </a:defRPr>
            </a:pPr>
            <a:r>
              <a:rPr lang="bg-BG"/>
              <a:t>Рентабилност на труда
(финансов резултат спрямо 1 лице от средносписъчния състав на персонала)</a:t>
            </a:r>
          </a:p>
        </c:rich>
      </c:tx>
      <c:overlay val="0"/>
    </c:title>
    <c:autoTitleDeleted val="0"/>
    <c:view3D>
      <c:rotX val="15"/>
      <c:hPercent val="61"/>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'proizvoditelnost na truda'!$J$10</c:f>
              <c:strCache>
                <c:ptCount val="1"/>
                <c:pt idx="0">
                  <c:v>Рентабилност на труда</c:v>
                </c:pt>
              </c:strCache>
            </c:strRef>
          </c:tx>
          <c:spPr>
            <a:solidFill>
              <a:schemeClr val="accent6">
                <a:lumMod val="75000"/>
              </a:schemeClr>
            </a:solidFill>
          </c:spPr>
          <c:invertIfNegative val="0"/>
          <c:cat>
            <c:numRef>
              <c:f>'proizvoditelnost na truda'!$K$9:$L$9</c:f>
              <c:numCache>
                <c:formatCode>General</c:formatCode>
                <c:ptCount val="2"/>
                <c:pt idx="0">
                  <c:v>2021</c:v>
                </c:pt>
                <c:pt idx="1">
                  <c:v>2020</c:v>
                </c:pt>
              </c:numCache>
            </c:numRef>
          </c:cat>
          <c:val>
            <c:numRef>
              <c:f>'proizvoditelnost na truda'!$K$10:$L$10</c:f>
              <c:numCache>
                <c:formatCode>0</c:formatCode>
                <c:ptCount val="2"/>
                <c:pt idx="0">
                  <c:v>4613.8002059732235</c:v>
                </c:pt>
                <c:pt idx="1">
                  <c:v>2245.1081359423274</c:v>
                </c:pt>
              </c:numCache>
            </c:numRef>
          </c:val>
          <c:shape val="pyramid"/>
          <c:extLst xmlns:c16r2="http://schemas.microsoft.com/office/drawing/2015/06/chart">
            <c:ext xmlns:c16="http://schemas.microsoft.com/office/drawing/2014/chart" uri="{C3380CC4-5D6E-409C-BE32-E72D297353CC}">
              <c16:uniqueId val="{00000000-FAF4-4829-94B2-1516BD205109}"/>
            </c:ext>
          </c:extLst>
        </c:ser>
        <c:dLbls>
          <c:showLegendKey val="0"/>
          <c:showVal val="0"/>
          <c:showCatName val="0"/>
          <c:showSerName val="0"/>
          <c:showPercent val="0"/>
          <c:showBubbleSize val="0"/>
        </c:dLbls>
        <c:gapWidth val="150"/>
        <c:shape val="box"/>
        <c:axId val="557372928"/>
        <c:axId val="564331072"/>
        <c:axId val="0"/>
      </c:bar3DChart>
      <c:catAx>
        <c:axId val="557372928"/>
        <c:scaling>
          <c:orientation val="minMax"/>
        </c:scaling>
        <c:delete val="0"/>
        <c:axPos val="b"/>
        <c:numFmt formatCode="General" sourceLinked="1"/>
        <c:majorTickMark val="none"/>
        <c:minorTickMark val="none"/>
        <c:tickLblPos val="low"/>
        <c:txPr>
          <a:bodyPr rot="0" vert="horz"/>
          <a:lstStyle/>
          <a:p>
            <a:pPr>
              <a:defRPr sz="1000" b="0" i="0" u="none" strike="noStrike" baseline="0">
                <a:solidFill>
                  <a:srgbClr val="000000"/>
                </a:solidFill>
                <a:latin typeface="Calibri"/>
                <a:ea typeface="Calibri"/>
                <a:cs typeface="Calibri"/>
              </a:defRPr>
            </a:pPr>
            <a:endParaRPr lang="bg-BG"/>
          </a:p>
        </c:txPr>
        <c:crossAx val="564331072"/>
        <c:crosses val="autoZero"/>
        <c:auto val="1"/>
        <c:lblAlgn val="ctr"/>
        <c:lblOffset val="100"/>
        <c:tickLblSkip val="1"/>
        <c:tickMarkSkip val="1"/>
        <c:noMultiLvlLbl val="0"/>
      </c:catAx>
      <c:valAx>
        <c:axId val="564331072"/>
        <c:scaling>
          <c:orientation val="minMax"/>
        </c:scaling>
        <c:delete val="0"/>
        <c:axPos val="l"/>
        <c:majorGridlines/>
        <c:numFmt formatCode="0"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bg-BG"/>
          </a:p>
        </c:txPr>
        <c:crossAx val="557372928"/>
        <c:crosses val="autoZero"/>
        <c:crossBetween val="between"/>
      </c:valAx>
      <c:spPr>
        <a:noFill/>
        <a:ln w="25400">
          <a:noFill/>
        </a:ln>
      </c:spPr>
    </c:plotArea>
    <c:legend>
      <c:legendPos val="r"/>
      <c:layout>
        <c:manualLayout>
          <c:xMode val="edge"/>
          <c:yMode val="edge"/>
          <c:x val="0.69954596216657061"/>
          <c:y val="0.58251816962013336"/>
          <c:w val="0.27822850767988605"/>
          <c:h val="7.0002183473664104E-2"/>
        </c:manualLayout>
      </c:layout>
      <c:overlay val="0"/>
      <c:txPr>
        <a:bodyPr/>
        <a:lstStyle/>
        <a:p>
          <a:pPr>
            <a:defRPr sz="920" b="0" i="0" u="none" strike="noStrike" baseline="0">
              <a:solidFill>
                <a:srgbClr val="000000"/>
              </a:solidFill>
              <a:latin typeface="Calibri"/>
              <a:ea typeface="Calibri"/>
              <a:cs typeface="Calibri"/>
            </a:defRPr>
          </a:pPr>
          <a:endParaRPr lang="bg-BG"/>
        </a:p>
      </c:txPr>
    </c:legend>
    <c:plotVisOnly val="1"/>
    <c:dispBlanksAs val="gap"/>
    <c:showDLblsOverMax val="0"/>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chemeClr val="accent6">
          <a:lumMod val="75000"/>
        </a:schemeClr>
      </a:solidFill>
    </a:ln>
    <a:effectLst>
      <a:outerShdw blurRad="50800" dist="38100" dir="5400000" algn="t" rotWithShape="0">
        <a:schemeClr val="accent6">
          <a:lumMod val="20000"/>
          <a:lumOff val="80000"/>
          <a:alpha val="40000"/>
        </a:schemeClr>
      </a:outerShdw>
    </a:effectLst>
  </c:spPr>
  <c:txPr>
    <a:bodyPr/>
    <a:lstStyle/>
    <a:p>
      <a:pPr>
        <a:defRPr sz="1000" b="0" i="0" u="none" strike="noStrike" baseline="0">
          <a:solidFill>
            <a:srgbClr val="000000"/>
          </a:solidFill>
          <a:latin typeface="Calibri"/>
          <a:ea typeface="Calibri"/>
          <a:cs typeface="Calibri"/>
        </a:defRPr>
      </a:pPr>
      <a:endParaRPr lang="bg-BG"/>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050" b="1" i="0" u="none" strike="noStrike" baseline="0">
                <a:solidFill>
                  <a:srgbClr val="000000"/>
                </a:solidFill>
                <a:latin typeface="Calibri"/>
                <a:ea typeface="Calibri"/>
                <a:cs typeface="Calibri"/>
              </a:defRPr>
            </a:pPr>
            <a:r>
              <a:rPr lang="bg-BG"/>
              <a:t>Издръжка на 1 лице от персонала (лв.)</a:t>
            </a:r>
          </a:p>
        </c:rich>
      </c:tx>
      <c:overlay val="0"/>
    </c:title>
    <c:autoTitleDeleted val="0"/>
    <c:view3D>
      <c:rotX val="15"/>
      <c:hPercent val="76"/>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'proizvoditelnost na truda'!$J$39</c:f>
              <c:strCache>
                <c:ptCount val="1"/>
                <c:pt idx="0">
                  <c:v>Издръжка на 1 лице</c:v>
                </c:pt>
              </c:strCache>
            </c:strRef>
          </c:tx>
          <c:spPr>
            <a:solidFill>
              <a:schemeClr val="accent6">
                <a:lumMod val="60000"/>
                <a:lumOff val="40000"/>
              </a:schemeClr>
            </a:solidFill>
          </c:spPr>
          <c:invertIfNegative val="0"/>
          <c:cat>
            <c:numRef>
              <c:f>'proizvoditelnost na truda'!$K$38:$L$38</c:f>
              <c:numCache>
                <c:formatCode>General</c:formatCode>
                <c:ptCount val="2"/>
                <c:pt idx="0">
                  <c:v>2021</c:v>
                </c:pt>
                <c:pt idx="1">
                  <c:v>2020</c:v>
                </c:pt>
              </c:numCache>
            </c:numRef>
          </c:cat>
          <c:val>
            <c:numRef>
              <c:f>'proizvoditelnost na truda'!$K$39:$L$39</c:f>
              <c:numCache>
                <c:formatCode>#,##0</c:formatCode>
                <c:ptCount val="2"/>
                <c:pt idx="0">
                  <c:v>31822.863027806383</c:v>
                </c:pt>
                <c:pt idx="1">
                  <c:v>26632.337796086507</c:v>
                </c:pt>
              </c:numCache>
            </c:numRef>
          </c:val>
          <c:shape val="pyramid"/>
          <c:extLst xmlns:c16r2="http://schemas.microsoft.com/office/drawing/2015/06/chart">
            <c:ext xmlns:c16="http://schemas.microsoft.com/office/drawing/2014/chart" uri="{C3380CC4-5D6E-409C-BE32-E72D297353CC}">
              <c16:uniqueId val="{00000000-4504-49BB-B703-3C48774320CF}"/>
            </c:ext>
          </c:extLst>
        </c:ser>
        <c:dLbls>
          <c:showLegendKey val="0"/>
          <c:showVal val="0"/>
          <c:showCatName val="0"/>
          <c:showSerName val="0"/>
          <c:showPercent val="0"/>
          <c:showBubbleSize val="0"/>
        </c:dLbls>
        <c:gapWidth val="150"/>
        <c:shape val="box"/>
        <c:axId val="96957440"/>
        <c:axId val="564333952"/>
        <c:axId val="0"/>
      </c:bar3DChart>
      <c:catAx>
        <c:axId val="96957440"/>
        <c:scaling>
          <c:orientation val="minMax"/>
        </c:scaling>
        <c:delete val="0"/>
        <c:axPos val="b"/>
        <c:numFmt formatCode="General" sourceLinked="1"/>
        <c:majorTickMark val="none"/>
        <c:minorTickMark val="none"/>
        <c:tickLblPos val="low"/>
        <c:txPr>
          <a:bodyPr rot="0" vert="horz"/>
          <a:lstStyle/>
          <a:p>
            <a:pPr>
              <a:defRPr sz="1000" b="0" i="0" u="none" strike="noStrike" baseline="0">
                <a:solidFill>
                  <a:srgbClr val="000000"/>
                </a:solidFill>
                <a:latin typeface="Calibri"/>
                <a:ea typeface="Calibri"/>
                <a:cs typeface="Calibri"/>
              </a:defRPr>
            </a:pPr>
            <a:endParaRPr lang="bg-BG"/>
          </a:p>
        </c:txPr>
        <c:crossAx val="564333952"/>
        <c:crosses val="autoZero"/>
        <c:auto val="1"/>
        <c:lblAlgn val="ctr"/>
        <c:lblOffset val="100"/>
        <c:tickLblSkip val="1"/>
        <c:tickMarkSkip val="1"/>
        <c:noMultiLvlLbl val="0"/>
      </c:catAx>
      <c:valAx>
        <c:axId val="564333952"/>
        <c:scaling>
          <c:orientation val="minMax"/>
        </c:scaling>
        <c:delete val="0"/>
        <c:axPos val="l"/>
        <c:majorGridlines/>
        <c:numFmt formatCode="#,##0"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bg-BG"/>
          </a:p>
        </c:txPr>
        <c:crossAx val="96957440"/>
        <c:crosses val="autoZero"/>
        <c:crossBetween val="between"/>
      </c:valAx>
      <c:spPr>
        <a:noFill/>
        <a:ln w="25400">
          <a:noFill/>
        </a:ln>
      </c:spPr>
    </c:plotArea>
    <c:legend>
      <c:legendPos val="r"/>
      <c:layout>
        <c:manualLayout>
          <c:xMode val="edge"/>
          <c:yMode val="edge"/>
          <c:x val="0.74523632563961217"/>
          <c:y val="0.51390488665216127"/>
          <c:w val="0.23270225187956273"/>
          <c:h val="6.4816832550723055E-2"/>
        </c:manualLayout>
      </c:layout>
      <c:overlay val="0"/>
      <c:txPr>
        <a:bodyPr/>
        <a:lstStyle/>
        <a:p>
          <a:pPr>
            <a:defRPr sz="920" b="0" i="0" u="none" strike="noStrike" baseline="0">
              <a:solidFill>
                <a:srgbClr val="000000"/>
              </a:solidFill>
              <a:latin typeface="Calibri"/>
              <a:ea typeface="Calibri"/>
              <a:cs typeface="Calibri"/>
            </a:defRPr>
          </a:pPr>
          <a:endParaRPr lang="bg-BG"/>
        </a:p>
      </c:txPr>
    </c:legend>
    <c:plotVisOnly val="1"/>
    <c:dispBlanksAs val="gap"/>
    <c:showDLblsOverMax val="0"/>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chemeClr val="accent6">
          <a:lumMod val="75000"/>
        </a:schemeClr>
      </a:solidFill>
    </a:ln>
    <a:effectLst>
      <a:outerShdw blurRad="50800" dist="38100" dir="5400000" algn="t" rotWithShape="0">
        <a:schemeClr val="accent6">
          <a:lumMod val="20000"/>
          <a:lumOff val="80000"/>
          <a:alpha val="40000"/>
        </a:schemeClr>
      </a:outerShdw>
    </a:effectLst>
  </c:spPr>
  <c:txPr>
    <a:bodyPr/>
    <a:lstStyle/>
    <a:p>
      <a:pPr>
        <a:defRPr sz="1000" b="0" i="0" u="none" strike="noStrike" baseline="0">
          <a:solidFill>
            <a:srgbClr val="000000"/>
          </a:solidFill>
          <a:latin typeface="Calibri"/>
          <a:ea typeface="Calibri"/>
          <a:cs typeface="Calibri"/>
        </a:defRPr>
      </a:pPr>
      <a:endParaRPr lang="bg-BG"/>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050" b="1" i="0" u="none" strike="noStrike" baseline="0">
                <a:solidFill>
                  <a:srgbClr val="000000"/>
                </a:solidFill>
                <a:latin typeface="Calibri"/>
                <a:ea typeface="Calibri"/>
                <a:cs typeface="Calibri"/>
              </a:defRPr>
            </a:pPr>
            <a:r>
              <a:rPr lang="bg-BG"/>
              <a:t>Издръжка на едно лице от персонала спрямо производителност на труда и рентабилност на труда</a:t>
            </a:r>
          </a:p>
        </c:rich>
      </c:tx>
      <c:overlay val="0"/>
    </c:title>
    <c:autoTitleDeleted val="0"/>
    <c:view3D>
      <c:rotX val="15"/>
      <c:hPercent val="97"/>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'proizvoditelnost na truda'!$O$10</c:f>
              <c:strCache>
                <c:ptCount val="1"/>
                <c:pt idx="0">
                  <c:v>Издръжка на едно лице от персонала</c:v>
                </c:pt>
              </c:strCache>
            </c:strRef>
          </c:tx>
          <c:spPr>
            <a:solidFill>
              <a:schemeClr val="accent6">
                <a:lumMod val="60000"/>
                <a:lumOff val="40000"/>
              </a:schemeClr>
            </a:solidFill>
          </c:spPr>
          <c:invertIfNegative val="0"/>
          <c:cat>
            <c:numRef>
              <c:f>'proizvoditelnost na truda'!$P$9:$Q$9</c:f>
              <c:numCache>
                <c:formatCode>General</c:formatCode>
                <c:ptCount val="2"/>
                <c:pt idx="0">
                  <c:v>2021</c:v>
                </c:pt>
                <c:pt idx="1">
                  <c:v>2020</c:v>
                </c:pt>
              </c:numCache>
            </c:numRef>
          </c:cat>
          <c:val>
            <c:numRef>
              <c:f>'proizvoditelnost na truda'!$P$10:$Q$10</c:f>
              <c:numCache>
                <c:formatCode>0</c:formatCode>
                <c:ptCount val="2"/>
                <c:pt idx="0">
                  <c:v>31822.863027806383</c:v>
                </c:pt>
                <c:pt idx="1">
                  <c:v>26632.337796086507</c:v>
                </c:pt>
              </c:numCache>
            </c:numRef>
          </c:val>
          <c:shape val="pyramid"/>
          <c:extLst xmlns:c16r2="http://schemas.microsoft.com/office/drawing/2015/06/chart">
            <c:ext xmlns:c16="http://schemas.microsoft.com/office/drawing/2014/chart" uri="{C3380CC4-5D6E-409C-BE32-E72D297353CC}">
              <c16:uniqueId val="{00000000-9DDA-4003-9FA3-0F50E0E54578}"/>
            </c:ext>
          </c:extLst>
        </c:ser>
        <c:ser>
          <c:idx val="1"/>
          <c:order val="1"/>
          <c:tx>
            <c:strRef>
              <c:f>'proizvoditelnost na truda'!$O$11</c:f>
              <c:strCache>
                <c:ptCount val="1"/>
                <c:pt idx="0">
                  <c:v>Производителност на труда (спрямо нетни приходи от продажби)</c:v>
                </c:pt>
              </c:strCache>
            </c:strRef>
          </c:tx>
          <c:spPr>
            <a:solidFill>
              <a:schemeClr val="accent6">
                <a:lumMod val="50000"/>
              </a:schemeClr>
            </a:solidFill>
          </c:spPr>
          <c:invertIfNegative val="0"/>
          <c:cat>
            <c:numRef>
              <c:f>'proizvoditelnost na truda'!$P$9:$Q$9</c:f>
              <c:numCache>
                <c:formatCode>General</c:formatCode>
                <c:ptCount val="2"/>
                <c:pt idx="0">
                  <c:v>2021</c:v>
                </c:pt>
                <c:pt idx="1">
                  <c:v>2020</c:v>
                </c:pt>
              </c:numCache>
            </c:numRef>
          </c:cat>
          <c:val>
            <c:numRef>
              <c:f>'proizvoditelnost na truda'!$P$11:$Q$11</c:f>
              <c:numCache>
                <c:formatCode>0</c:formatCode>
                <c:ptCount val="2"/>
                <c:pt idx="0">
                  <c:v>58270.648815653956</c:v>
                </c:pt>
                <c:pt idx="1">
                  <c:v>47962.368692070027</c:v>
                </c:pt>
              </c:numCache>
            </c:numRef>
          </c:val>
          <c:shape val="pyramid"/>
          <c:extLst xmlns:c16r2="http://schemas.microsoft.com/office/drawing/2015/06/chart">
            <c:ext xmlns:c16="http://schemas.microsoft.com/office/drawing/2014/chart" uri="{C3380CC4-5D6E-409C-BE32-E72D297353CC}">
              <c16:uniqueId val="{00000001-9DDA-4003-9FA3-0F50E0E54578}"/>
            </c:ext>
          </c:extLst>
        </c:ser>
        <c:ser>
          <c:idx val="2"/>
          <c:order val="2"/>
          <c:tx>
            <c:strRef>
              <c:f>'proizvoditelnost na truda'!$O$12</c:f>
              <c:strCache>
                <c:ptCount val="1"/>
                <c:pt idx="0">
                  <c:v>Рентабилност на труда (спрямо финансов резултат)</c:v>
                </c:pt>
              </c:strCache>
            </c:strRef>
          </c:tx>
          <c:spPr>
            <a:solidFill>
              <a:schemeClr val="accent6">
                <a:lumMod val="75000"/>
              </a:schemeClr>
            </a:solidFill>
          </c:spPr>
          <c:invertIfNegative val="0"/>
          <c:cat>
            <c:numRef>
              <c:f>'proizvoditelnost na truda'!$P$9:$Q$9</c:f>
              <c:numCache>
                <c:formatCode>General</c:formatCode>
                <c:ptCount val="2"/>
                <c:pt idx="0">
                  <c:v>2021</c:v>
                </c:pt>
                <c:pt idx="1">
                  <c:v>2020</c:v>
                </c:pt>
              </c:numCache>
            </c:numRef>
          </c:cat>
          <c:val>
            <c:numRef>
              <c:f>'proizvoditelnost na truda'!$P$12:$Q$12</c:f>
              <c:numCache>
                <c:formatCode>0</c:formatCode>
                <c:ptCount val="2"/>
                <c:pt idx="0">
                  <c:v>4613.8002059732235</c:v>
                </c:pt>
                <c:pt idx="1">
                  <c:v>2245.1081359423274</c:v>
                </c:pt>
              </c:numCache>
            </c:numRef>
          </c:val>
          <c:extLst xmlns:c16r2="http://schemas.microsoft.com/office/drawing/2015/06/chart">
            <c:ext xmlns:c16="http://schemas.microsoft.com/office/drawing/2014/chart" uri="{C3380CC4-5D6E-409C-BE32-E72D297353CC}">
              <c16:uniqueId val="{00000002-9DDA-4003-9FA3-0F50E0E54578}"/>
            </c:ext>
          </c:extLst>
        </c:ser>
        <c:dLbls>
          <c:showLegendKey val="0"/>
          <c:showVal val="0"/>
          <c:showCatName val="0"/>
          <c:showSerName val="0"/>
          <c:showPercent val="0"/>
          <c:showBubbleSize val="0"/>
        </c:dLbls>
        <c:gapWidth val="150"/>
        <c:shape val="box"/>
        <c:axId val="96958976"/>
        <c:axId val="564383104"/>
        <c:axId val="0"/>
      </c:bar3DChart>
      <c:catAx>
        <c:axId val="96958976"/>
        <c:scaling>
          <c:orientation val="minMax"/>
        </c:scaling>
        <c:delete val="0"/>
        <c:axPos val="b"/>
        <c:numFmt formatCode="General" sourceLinked="1"/>
        <c:majorTickMark val="none"/>
        <c:minorTickMark val="none"/>
        <c:tickLblPos val="low"/>
        <c:txPr>
          <a:bodyPr rot="0" vert="horz"/>
          <a:lstStyle/>
          <a:p>
            <a:pPr>
              <a:defRPr sz="1000" b="0" i="0" u="none" strike="noStrike" baseline="0">
                <a:solidFill>
                  <a:srgbClr val="000000"/>
                </a:solidFill>
                <a:latin typeface="Calibri"/>
                <a:ea typeface="Calibri"/>
                <a:cs typeface="Calibri"/>
              </a:defRPr>
            </a:pPr>
            <a:endParaRPr lang="bg-BG"/>
          </a:p>
        </c:txPr>
        <c:crossAx val="564383104"/>
        <c:crosses val="autoZero"/>
        <c:auto val="1"/>
        <c:lblAlgn val="ctr"/>
        <c:lblOffset val="100"/>
        <c:tickLblSkip val="1"/>
        <c:tickMarkSkip val="1"/>
        <c:noMultiLvlLbl val="0"/>
      </c:catAx>
      <c:valAx>
        <c:axId val="564383104"/>
        <c:scaling>
          <c:orientation val="minMax"/>
        </c:scaling>
        <c:delete val="0"/>
        <c:axPos val="l"/>
        <c:majorGridlines/>
        <c:numFmt formatCode="0"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bg-BG"/>
          </a:p>
        </c:txPr>
        <c:crossAx val="96958976"/>
        <c:crosses val="autoZero"/>
        <c:crossBetween val="between"/>
      </c:valAx>
      <c:spPr>
        <a:noFill/>
        <a:ln w="25400">
          <a:noFill/>
        </a:ln>
      </c:spPr>
    </c:plotArea>
    <c:legend>
      <c:legendPos val="r"/>
      <c:layout>
        <c:manualLayout>
          <c:xMode val="edge"/>
          <c:yMode val="edge"/>
          <c:x val="0.64092280059125772"/>
          <c:y val="0.34726912495813173"/>
          <c:w val="0.33817534704563851"/>
          <c:h val="0.43865573678921893"/>
        </c:manualLayout>
      </c:layout>
      <c:overlay val="0"/>
      <c:txPr>
        <a:bodyPr/>
        <a:lstStyle/>
        <a:p>
          <a:pPr>
            <a:defRPr sz="920" b="0" i="0" u="none" strike="noStrike" baseline="0">
              <a:solidFill>
                <a:srgbClr val="000000"/>
              </a:solidFill>
              <a:latin typeface="Calibri"/>
              <a:ea typeface="Calibri"/>
              <a:cs typeface="Calibri"/>
            </a:defRPr>
          </a:pPr>
          <a:endParaRPr lang="bg-BG"/>
        </a:p>
      </c:txPr>
    </c:legend>
    <c:plotVisOnly val="1"/>
    <c:dispBlanksAs val="gap"/>
    <c:showDLblsOverMax val="0"/>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chemeClr val="accent6">
          <a:lumMod val="75000"/>
        </a:schemeClr>
      </a:solidFill>
    </a:ln>
    <a:effectLst>
      <a:outerShdw blurRad="50800" dist="38100" dir="5400000" algn="t" rotWithShape="0">
        <a:schemeClr val="accent6">
          <a:lumMod val="20000"/>
          <a:lumOff val="80000"/>
          <a:alpha val="40000"/>
        </a:schemeClr>
      </a:outerShdw>
    </a:effectLst>
  </c:spPr>
  <c:txPr>
    <a:bodyPr/>
    <a:lstStyle/>
    <a:p>
      <a:pPr>
        <a:defRPr sz="1000" b="0" i="0" u="none" strike="noStrike" baseline="0">
          <a:solidFill>
            <a:srgbClr val="000000"/>
          </a:solidFill>
          <a:latin typeface="Calibri"/>
          <a:ea typeface="Calibri"/>
          <a:cs typeface="Calibri"/>
        </a:defRPr>
      </a:pPr>
      <a:endParaRPr lang="bg-BG"/>
    </a:p>
  </c:txPr>
  <c:externalData r:id="rId1">
    <c:autoUpdate val="0"/>
  </c:externalData>
</c:chartSpace>
</file>

<file path=word/charts/chart17.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050" b="1" i="0" u="none" strike="noStrike" baseline="0">
                <a:solidFill>
                  <a:srgbClr val="000000"/>
                </a:solidFill>
                <a:latin typeface="Calibri"/>
                <a:ea typeface="Calibri"/>
                <a:cs typeface="Calibri"/>
              </a:defRPr>
            </a:pPr>
            <a:r>
              <a:rPr lang="bg-BG"/>
              <a:t>Приходи, разходи и финансов резултат</a:t>
            </a:r>
          </a:p>
        </c:rich>
      </c:tx>
      <c:overlay val="0"/>
    </c:title>
    <c:autoTitleDeleted val="0"/>
    <c:view3D>
      <c:rotX val="15"/>
      <c:hPercent val="74"/>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'sapostavka finansovi rezultati'!$I$6</c:f>
              <c:strCache>
                <c:ptCount val="1"/>
                <c:pt idx="0">
                  <c:v>Общо приходи</c:v>
                </c:pt>
              </c:strCache>
            </c:strRef>
          </c:tx>
          <c:spPr>
            <a:solidFill>
              <a:schemeClr val="accent6">
                <a:lumMod val="50000"/>
              </a:schemeClr>
            </a:solidFill>
          </c:spPr>
          <c:invertIfNegative val="0"/>
          <c:cat>
            <c:strRef>
              <c:f>'sapostavka finansovi rezultati'!$J$5:$K$5</c:f>
              <c:strCache>
                <c:ptCount val="2"/>
                <c:pt idx="0">
                  <c:v>2021</c:v>
                </c:pt>
                <c:pt idx="1">
                  <c:v>Прогнози</c:v>
                </c:pt>
              </c:strCache>
            </c:strRef>
          </c:cat>
          <c:val>
            <c:numRef>
              <c:f>'sapostavka finansovi rezultati'!$J$6:$K$6</c:f>
              <c:numCache>
                <c:formatCode>0</c:formatCode>
                <c:ptCount val="2"/>
                <c:pt idx="0">
                  <c:v>2292</c:v>
                </c:pt>
                <c:pt idx="1">
                  <c:v>1396</c:v>
                </c:pt>
              </c:numCache>
            </c:numRef>
          </c:val>
          <c:shape val="pyramid"/>
          <c:extLst xmlns:c16r2="http://schemas.microsoft.com/office/drawing/2015/06/chart">
            <c:ext xmlns:c16="http://schemas.microsoft.com/office/drawing/2014/chart" uri="{C3380CC4-5D6E-409C-BE32-E72D297353CC}">
              <c16:uniqueId val="{00000000-47AC-4137-B239-D1672C0AB5BC}"/>
            </c:ext>
          </c:extLst>
        </c:ser>
        <c:ser>
          <c:idx val="1"/>
          <c:order val="1"/>
          <c:tx>
            <c:strRef>
              <c:f>'sapostavka finansovi rezultati'!$I$7</c:f>
              <c:strCache>
                <c:ptCount val="1"/>
                <c:pt idx="0">
                  <c:v>Общо разходи</c:v>
                </c:pt>
              </c:strCache>
            </c:strRef>
          </c:tx>
          <c:spPr>
            <a:solidFill>
              <a:schemeClr val="accent6">
                <a:lumMod val="75000"/>
              </a:schemeClr>
            </a:solidFill>
          </c:spPr>
          <c:invertIfNegative val="0"/>
          <c:cat>
            <c:strRef>
              <c:f>'sapostavka finansovi rezultati'!$J$5:$K$5</c:f>
              <c:strCache>
                <c:ptCount val="2"/>
                <c:pt idx="0">
                  <c:v>2021</c:v>
                </c:pt>
                <c:pt idx="1">
                  <c:v>Прогнози</c:v>
                </c:pt>
              </c:strCache>
            </c:strRef>
          </c:cat>
          <c:val>
            <c:numRef>
              <c:f>'sapostavka finansovi rezultati'!$J$7:$K$7</c:f>
              <c:numCache>
                <c:formatCode>0</c:formatCode>
                <c:ptCount val="2"/>
                <c:pt idx="0">
                  <c:v>2042</c:v>
                </c:pt>
                <c:pt idx="1">
                  <c:v>1820</c:v>
                </c:pt>
              </c:numCache>
            </c:numRef>
          </c:val>
          <c:shape val="pyramid"/>
          <c:extLst xmlns:c16r2="http://schemas.microsoft.com/office/drawing/2015/06/chart">
            <c:ext xmlns:c16="http://schemas.microsoft.com/office/drawing/2014/chart" uri="{C3380CC4-5D6E-409C-BE32-E72D297353CC}">
              <c16:uniqueId val="{00000001-47AC-4137-B239-D1672C0AB5BC}"/>
            </c:ext>
          </c:extLst>
        </c:ser>
        <c:ser>
          <c:idx val="2"/>
          <c:order val="2"/>
          <c:tx>
            <c:strRef>
              <c:f>'sapostavka finansovi rezultati'!$I$8</c:f>
              <c:strCache>
                <c:ptCount val="1"/>
                <c:pt idx="0">
                  <c:v>Финансов резултат</c:v>
                </c:pt>
              </c:strCache>
            </c:strRef>
          </c:tx>
          <c:spPr>
            <a:solidFill>
              <a:schemeClr val="accent6">
                <a:lumMod val="60000"/>
                <a:lumOff val="40000"/>
              </a:schemeClr>
            </a:solidFill>
          </c:spPr>
          <c:invertIfNegative val="0"/>
          <c:cat>
            <c:strRef>
              <c:f>'sapostavka finansovi rezultati'!$J$5:$K$5</c:f>
              <c:strCache>
                <c:ptCount val="2"/>
                <c:pt idx="0">
                  <c:v>2021</c:v>
                </c:pt>
                <c:pt idx="1">
                  <c:v>Прогнози</c:v>
                </c:pt>
              </c:strCache>
            </c:strRef>
          </c:cat>
          <c:val>
            <c:numRef>
              <c:f>'sapostavka finansovi rezultati'!$J$8:$K$8</c:f>
              <c:numCache>
                <c:formatCode>0</c:formatCode>
                <c:ptCount val="2"/>
                <c:pt idx="0">
                  <c:v>224</c:v>
                </c:pt>
                <c:pt idx="1">
                  <c:v>96</c:v>
                </c:pt>
              </c:numCache>
            </c:numRef>
          </c:val>
          <c:shape val="pyramid"/>
          <c:extLst xmlns:c16r2="http://schemas.microsoft.com/office/drawing/2015/06/chart">
            <c:ext xmlns:c16="http://schemas.microsoft.com/office/drawing/2014/chart" uri="{C3380CC4-5D6E-409C-BE32-E72D297353CC}">
              <c16:uniqueId val="{00000002-47AC-4137-B239-D1672C0AB5BC}"/>
            </c:ext>
          </c:extLst>
        </c:ser>
        <c:dLbls>
          <c:showLegendKey val="0"/>
          <c:showVal val="0"/>
          <c:showCatName val="0"/>
          <c:showSerName val="0"/>
          <c:showPercent val="0"/>
          <c:showBubbleSize val="0"/>
        </c:dLbls>
        <c:gapWidth val="150"/>
        <c:shape val="box"/>
        <c:axId val="557373440"/>
        <c:axId val="564384832"/>
        <c:axId val="0"/>
      </c:bar3DChart>
      <c:catAx>
        <c:axId val="557373440"/>
        <c:scaling>
          <c:orientation val="minMax"/>
        </c:scaling>
        <c:delete val="0"/>
        <c:axPos val="b"/>
        <c:numFmt formatCode="General" sourceLinked="1"/>
        <c:majorTickMark val="none"/>
        <c:minorTickMark val="none"/>
        <c:tickLblPos val="low"/>
        <c:txPr>
          <a:bodyPr rot="0" vert="horz"/>
          <a:lstStyle/>
          <a:p>
            <a:pPr>
              <a:defRPr sz="1000" b="0" i="0" u="none" strike="noStrike" baseline="0">
                <a:solidFill>
                  <a:srgbClr val="000000"/>
                </a:solidFill>
                <a:latin typeface="Calibri"/>
                <a:ea typeface="Calibri"/>
                <a:cs typeface="Calibri"/>
              </a:defRPr>
            </a:pPr>
            <a:endParaRPr lang="bg-BG"/>
          </a:p>
        </c:txPr>
        <c:crossAx val="564384832"/>
        <c:crosses val="autoZero"/>
        <c:auto val="1"/>
        <c:lblAlgn val="ctr"/>
        <c:lblOffset val="100"/>
        <c:tickLblSkip val="1"/>
        <c:tickMarkSkip val="1"/>
        <c:noMultiLvlLbl val="0"/>
      </c:catAx>
      <c:valAx>
        <c:axId val="564384832"/>
        <c:scaling>
          <c:orientation val="minMax"/>
        </c:scaling>
        <c:delete val="0"/>
        <c:axPos val="l"/>
        <c:majorGridlines/>
        <c:numFmt formatCode="0.00" sourceLinked="0"/>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bg-BG"/>
          </a:p>
        </c:txPr>
        <c:crossAx val="557373440"/>
        <c:crosses val="autoZero"/>
        <c:crossBetween val="between"/>
        <c:minorUnit val="4.3600000000000003"/>
      </c:valAx>
      <c:spPr>
        <a:noFill/>
        <a:ln w="25400">
          <a:noFill/>
        </a:ln>
      </c:spPr>
    </c:plotArea>
    <c:legend>
      <c:legendPos val="r"/>
      <c:layout>
        <c:manualLayout>
          <c:xMode val="edge"/>
          <c:yMode val="edge"/>
          <c:x val="0.72083424289286169"/>
          <c:y val="0.44602377341080285"/>
          <c:w val="0.25381487425804988"/>
          <c:h val="0.19718945771846022"/>
        </c:manualLayout>
      </c:layout>
      <c:overlay val="0"/>
      <c:txPr>
        <a:bodyPr/>
        <a:lstStyle/>
        <a:p>
          <a:pPr>
            <a:defRPr sz="920" b="0" i="0" u="none" strike="noStrike" baseline="0">
              <a:solidFill>
                <a:srgbClr val="000000"/>
              </a:solidFill>
              <a:latin typeface="Calibri"/>
              <a:ea typeface="Calibri"/>
              <a:cs typeface="Calibri"/>
            </a:defRPr>
          </a:pPr>
          <a:endParaRPr lang="bg-BG"/>
        </a:p>
      </c:txPr>
    </c:legend>
    <c:plotVisOnly val="1"/>
    <c:dispBlanksAs val="gap"/>
    <c:showDLblsOverMax val="0"/>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chemeClr val="accent6">
          <a:lumMod val="75000"/>
        </a:schemeClr>
      </a:solidFill>
    </a:ln>
    <a:effectLst>
      <a:outerShdw blurRad="50800" dist="38100" dir="5400000" algn="t" rotWithShape="0">
        <a:schemeClr val="accent6">
          <a:lumMod val="20000"/>
          <a:lumOff val="80000"/>
          <a:alpha val="40000"/>
        </a:schemeClr>
      </a:outerShdw>
    </a:effectLst>
  </c:spPr>
  <c:txPr>
    <a:bodyPr/>
    <a:lstStyle/>
    <a:p>
      <a:pPr>
        <a:defRPr sz="1000" b="0" i="0" u="none" strike="noStrike" baseline="0">
          <a:solidFill>
            <a:srgbClr val="000000"/>
          </a:solidFill>
          <a:latin typeface="Calibri"/>
          <a:ea typeface="Calibri"/>
          <a:cs typeface="Calibri"/>
        </a:defRPr>
      </a:pPr>
      <a:endParaRPr lang="bg-BG"/>
    </a:p>
  </c:txPr>
  <c:externalData r:id="rId1">
    <c:autoUpdate val="0"/>
  </c:externalData>
</c:chartSpace>
</file>

<file path=word/charts/chart18.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13"/>
    </mc:Choice>
    <mc:Fallback>
      <c:style val="13"/>
    </mc:Fallback>
  </mc:AlternateContent>
  <c:chart>
    <c:title>
      <c:tx>
        <c:rich>
          <a:bodyPr/>
          <a:lstStyle/>
          <a:p>
            <a:pPr>
              <a:defRPr sz="1050" b="1" i="0" u="none" strike="noStrike" baseline="0">
                <a:solidFill>
                  <a:srgbClr val="000000"/>
                </a:solidFill>
                <a:latin typeface="Calibri"/>
                <a:ea typeface="Calibri"/>
                <a:cs typeface="Calibri"/>
              </a:defRPr>
            </a:pPr>
            <a:r>
              <a:rPr lang="bg-BG"/>
              <a:t>Приходи и разходи от оперативна дейност</a:t>
            </a:r>
          </a:p>
        </c:rich>
      </c:tx>
      <c:overlay val="0"/>
    </c:title>
    <c:autoTitleDeleted val="0"/>
    <c:view3D>
      <c:rotX val="10"/>
      <c:hPercent val="84"/>
      <c:rotY val="15"/>
      <c:depthPercent val="100"/>
      <c:rAngAx val="1"/>
    </c:view3D>
    <c:floor>
      <c:thickness val="0"/>
    </c:floor>
    <c:sideWall>
      <c:thickness val="0"/>
    </c:sideWall>
    <c:backWall>
      <c:thickness val="0"/>
    </c:backWall>
    <c:plotArea>
      <c:layout>
        <c:manualLayout>
          <c:layoutTarget val="inner"/>
          <c:xMode val="edge"/>
          <c:yMode val="edge"/>
          <c:x val="0.13380008231521481"/>
          <c:y val="0.14220220914264042"/>
          <c:w val="0.56047059261455712"/>
          <c:h val="0.71191469882379532"/>
        </c:manualLayout>
      </c:layout>
      <c:bar3DChart>
        <c:barDir val="col"/>
        <c:grouping val="clustered"/>
        <c:varyColors val="0"/>
        <c:ser>
          <c:idx val="0"/>
          <c:order val="0"/>
          <c:tx>
            <c:strRef>
              <c:f>'finansovi prognozi'!$I$14</c:f>
              <c:strCache>
                <c:ptCount val="1"/>
                <c:pt idx="0">
                  <c:v>Общо приходи от оперативна дейност</c:v>
                </c:pt>
              </c:strCache>
            </c:strRef>
          </c:tx>
          <c:spPr>
            <a:solidFill>
              <a:schemeClr val="accent6">
                <a:lumMod val="50000"/>
              </a:schemeClr>
            </a:solidFill>
          </c:spPr>
          <c:invertIfNegative val="0"/>
          <c:cat>
            <c:numRef>
              <c:f>'finansovi prognozi'!$J$13:$K$13</c:f>
              <c:numCache>
                <c:formatCode>General</c:formatCode>
                <c:ptCount val="2"/>
                <c:pt idx="0">
                  <c:v>2022</c:v>
                </c:pt>
                <c:pt idx="1">
                  <c:v>2021</c:v>
                </c:pt>
              </c:numCache>
            </c:numRef>
          </c:cat>
          <c:val>
            <c:numRef>
              <c:f>'finansovi prognozi'!$J$14:$K$14</c:f>
              <c:numCache>
                <c:formatCode>0.00</c:formatCode>
                <c:ptCount val="2"/>
                <c:pt idx="0">
                  <c:v>2360</c:v>
                </c:pt>
                <c:pt idx="1">
                  <c:v>2292</c:v>
                </c:pt>
              </c:numCache>
            </c:numRef>
          </c:val>
          <c:shape val="pyramid"/>
          <c:extLst xmlns:c16r2="http://schemas.microsoft.com/office/drawing/2015/06/chart">
            <c:ext xmlns:c16="http://schemas.microsoft.com/office/drawing/2014/chart" uri="{C3380CC4-5D6E-409C-BE32-E72D297353CC}">
              <c16:uniqueId val="{00000000-4DDD-46B0-A2A5-C3DB4DA3C7EB}"/>
            </c:ext>
          </c:extLst>
        </c:ser>
        <c:ser>
          <c:idx val="1"/>
          <c:order val="1"/>
          <c:tx>
            <c:strRef>
              <c:f>'finansovi prognozi'!$I$15</c:f>
              <c:strCache>
                <c:ptCount val="1"/>
                <c:pt idx="0">
                  <c:v>Общо разходи за оперативна дейност</c:v>
                </c:pt>
              </c:strCache>
            </c:strRef>
          </c:tx>
          <c:spPr>
            <a:solidFill>
              <a:schemeClr val="accent6">
                <a:lumMod val="75000"/>
              </a:schemeClr>
            </a:solidFill>
          </c:spPr>
          <c:invertIfNegative val="0"/>
          <c:cat>
            <c:numRef>
              <c:f>'finansovi prognozi'!$J$13:$K$13</c:f>
              <c:numCache>
                <c:formatCode>General</c:formatCode>
                <c:ptCount val="2"/>
                <c:pt idx="0">
                  <c:v>2022</c:v>
                </c:pt>
                <c:pt idx="1">
                  <c:v>2021</c:v>
                </c:pt>
              </c:numCache>
            </c:numRef>
          </c:cat>
          <c:val>
            <c:numRef>
              <c:f>'finansovi prognozi'!$J$15:$K$15</c:f>
              <c:numCache>
                <c:formatCode>0.00</c:formatCode>
                <c:ptCount val="2"/>
                <c:pt idx="0">
                  <c:v>2200</c:v>
                </c:pt>
                <c:pt idx="1">
                  <c:v>2037</c:v>
                </c:pt>
              </c:numCache>
            </c:numRef>
          </c:val>
          <c:shape val="pyramid"/>
          <c:extLst xmlns:c16r2="http://schemas.microsoft.com/office/drawing/2015/06/chart">
            <c:ext xmlns:c16="http://schemas.microsoft.com/office/drawing/2014/chart" uri="{C3380CC4-5D6E-409C-BE32-E72D297353CC}">
              <c16:uniqueId val="{00000001-4DDD-46B0-A2A5-C3DB4DA3C7EB}"/>
            </c:ext>
          </c:extLst>
        </c:ser>
        <c:dLbls>
          <c:showLegendKey val="0"/>
          <c:showVal val="0"/>
          <c:showCatName val="0"/>
          <c:showSerName val="0"/>
          <c:showPercent val="0"/>
          <c:showBubbleSize val="0"/>
        </c:dLbls>
        <c:gapWidth val="150"/>
        <c:shape val="box"/>
        <c:axId val="565319680"/>
        <c:axId val="564386560"/>
        <c:axId val="0"/>
      </c:bar3DChart>
      <c:catAx>
        <c:axId val="565319680"/>
        <c:scaling>
          <c:orientation val="minMax"/>
        </c:scaling>
        <c:delete val="0"/>
        <c:axPos val="b"/>
        <c:numFmt formatCode="General" sourceLinked="1"/>
        <c:majorTickMark val="none"/>
        <c:minorTickMark val="none"/>
        <c:tickLblPos val="low"/>
        <c:txPr>
          <a:bodyPr rot="0" vert="horz"/>
          <a:lstStyle/>
          <a:p>
            <a:pPr>
              <a:defRPr sz="1050" b="0" i="0" u="none" strike="noStrike" baseline="0">
                <a:solidFill>
                  <a:srgbClr val="000000"/>
                </a:solidFill>
                <a:latin typeface="Calibri"/>
                <a:ea typeface="Calibri"/>
                <a:cs typeface="Calibri"/>
              </a:defRPr>
            </a:pPr>
            <a:endParaRPr lang="bg-BG"/>
          </a:p>
        </c:txPr>
        <c:crossAx val="564386560"/>
        <c:crosses val="autoZero"/>
        <c:auto val="1"/>
        <c:lblAlgn val="ctr"/>
        <c:lblOffset val="100"/>
        <c:tickLblSkip val="1"/>
        <c:tickMarkSkip val="1"/>
        <c:noMultiLvlLbl val="0"/>
      </c:catAx>
      <c:valAx>
        <c:axId val="564386560"/>
        <c:scaling>
          <c:orientation val="minMax"/>
        </c:scaling>
        <c:delete val="0"/>
        <c:axPos val="l"/>
        <c:majorGridlines/>
        <c:numFmt formatCode="0.00" sourceLinked="0"/>
        <c:majorTickMark val="none"/>
        <c:minorTickMark val="none"/>
        <c:tickLblPos val="nextTo"/>
        <c:txPr>
          <a:bodyPr rot="0" vert="horz"/>
          <a:lstStyle/>
          <a:p>
            <a:pPr>
              <a:defRPr sz="1050" b="0" i="0" u="none" strike="noStrike" baseline="0">
                <a:solidFill>
                  <a:srgbClr val="000000"/>
                </a:solidFill>
                <a:latin typeface="Calibri"/>
                <a:ea typeface="Calibri"/>
                <a:cs typeface="Calibri"/>
              </a:defRPr>
            </a:pPr>
            <a:endParaRPr lang="bg-BG"/>
          </a:p>
        </c:txPr>
        <c:crossAx val="565319680"/>
        <c:crosses val="autoZero"/>
        <c:crossBetween val="between"/>
      </c:valAx>
      <c:spPr>
        <a:noFill/>
        <a:ln w="25400">
          <a:noFill/>
        </a:ln>
      </c:spPr>
    </c:plotArea>
    <c:legend>
      <c:legendPos val="r"/>
      <c:layout>
        <c:manualLayout>
          <c:xMode val="edge"/>
          <c:yMode val="edge"/>
          <c:x val="0.73304737289447519"/>
          <c:y val="0.4285853383952174"/>
          <c:w val="0.24383470508910962"/>
          <c:h val="0.24868531980957057"/>
        </c:manualLayout>
      </c:layout>
      <c:overlay val="0"/>
      <c:txPr>
        <a:bodyPr/>
        <a:lstStyle/>
        <a:p>
          <a:pPr>
            <a:defRPr sz="920" b="0" i="0" u="none" strike="noStrike" baseline="0">
              <a:solidFill>
                <a:srgbClr val="000000"/>
              </a:solidFill>
              <a:latin typeface="Calibri"/>
              <a:ea typeface="Calibri"/>
              <a:cs typeface="Calibri"/>
            </a:defRPr>
          </a:pPr>
          <a:endParaRPr lang="bg-BG"/>
        </a:p>
      </c:txPr>
    </c:legend>
    <c:plotVisOnly val="1"/>
    <c:dispBlanksAs val="gap"/>
    <c:showDLblsOverMax val="0"/>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chemeClr val="accent6">
          <a:lumMod val="75000"/>
        </a:schemeClr>
      </a:solidFill>
    </a:ln>
    <a:effectLst>
      <a:outerShdw blurRad="50800" dist="38100" dir="5400000" algn="t" rotWithShape="0">
        <a:schemeClr val="accent6">
          <a:lumMod val="20000"/>
          <a:lumOff val="80000"/>
          <a:alpha val="40000"/>
        </a:schemeClr>
      </a:outerShdw>
    </a:effectLst>
  </c:spPr>
  <c:txPr>
    <a:bodyPr/>
    <a:lstStyle/>
    <a:p>
      <a:pPr>
        <a:defRPr sz="1050" b="0" i="0" u="none" strike="noStrike" baseline="0">
          <a:solidFill>
            <a:srgbClr val="000000"/>
          </a:solidFill>
          <a:latin typeface="Calibri"/>
          <a:ea typeface="Calibri"/>
          <a:cs typeface="Calibri"/>
        </a:defRPr>
      </a:pPr>
      <a:endParaRPr lang="bg-BG"/>
    </a:p>
  </c:txPr>
  <c:externalData r:id="rId1">
    <c:autoUpdate val="0"/>
  </c:externalData>
</c:chartSpace>
</file>

<file path=word/charts/chart19.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050" b="1" i="0" u="none" strike="noStrike" baseline="0">
                <a:solidFill>
                  <a:srgbClr val="000000"/>
                </a:solidFill>
                <a:latin typeface="Calibri"/>
                <a:ea typeface="Calibri"/>
                <a:cs typeface="Calibri"/>
              </a:defRPr>
            </a:pPr>
            <a:r>
              <a:rPr lang="bg-BG"/>
              <a:t>Приходи, разходи и финансов резултат</a:t>
            </a:r>
          </a:p>
        </c:rich>
      </c:tx>
      <c:overlay val="0"/>
    </c:title>
    <c:autoTitleDeleted val="0"/>
    <c:view3D>
      <c:rotX val="15"/>
      <c:hPercent val="74"/>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'finansovi prognozi'!$I$37</c:f>
              <c:strCache>
                <c:ptCount val="1"/>
                <c:pt idx="0">
                  <c:v>Общо приходи</c:v>
                </c:pt>
              </c:strCache>
            </c:strRef>
          </c:tx>
          <c:spPr>
            <a:solidFill>
              <a:schemeClr val="accent6">
                <a:lumMod val="50000"/>
              </a:schemeClr>
            </a:solidFill>
          </c:spPr>
          <c:invertIfNegative val="0"/>
          <c:cat>
            <c:numRef>
              <c:f>'finansovi prognozi'!$J$36:$K$36</c:f>
              <c:numCache>
                <c:formatCode>General</c:formatCode>
                <c:ptCount val="2"/>
                <c:pt idx="0">
                  <c:v>2022</c:v>
                </c:pt>
                <c:pt idx="1">
                  <c:v>2021</c:v>
                </c:pt>
              </c:numCache>
            </c:numRef>
          </c:cat>
          <c:val>
            <c:numRef>
              <c:f>'finansovi prognozi'!$J$37:$K$37</c:f>
              <c:numCache>
                <c:formatCode>0</c:formatCode>
                <c:ptCount val="2"/>
                <c:pt idx="0">
                  <c:v>2360</c:v>
                </c:pt>
                <c:pt idx="1">
                  <c:v>2292</c:v>
                </c:pt>
              </c:numCache>
            </c:numRef>
          </c:val>
          <c:shape val="pyramid"/>
          <c:extLst xmlns:c16r2="http://schemas.microsoft.com/office/drawing/2015/06/chart">
            <c:ext xmlns:c16="http://schemas.microsoft.com/office/drawing/2014/chart" uri="{C3380CC4-5D6E-409C-BE32-E72D297353CC}">
              <c16:uniqueId val="{00000000-9CD2-4236-9E92-C3CD5197CE85}"/>
            </c:ext>
          </c:extLst>
        </c:ser>
        <c:ser>
          <c:idx val="1"/>
          <c:order val="1"/>
          <c:tx>
            <c:strRef>
              <c:f>'finansovi prognozi'!$I$38</c:f>
              <c:strCache>
                <c:ptCount val="1"/>
                <c:pt idx="0">
                  <c:v>Общо разходи</c:v>
                </c:pt>
              </c:strCache>
            </c:strRef>
          </c:tx>
          <c:spPr>
            <a:solidFill>
              <a:schemeClr val="accent6">
                <a:lumMod val="75000"/>
              </a:schemeClr>
            </a:solidFill>
          </c:spPr>
          <c:invertIfNegative val="0"/>
          <c:cat>
            <c:numRef>
              <c:f>'finansovi prognozi'!$J$36:$K$36</c:f>
              <c:numCache>
                <c:formatCode>General</c:formatCode>
                <c:ptCount val="2"/>
                <c:pt idx="0">
                  <c:v>2022</c:v>
                </c:pt>
                <c:pt idx="1">
                  <c:v>2021</c:v>
                </c:pt>
              </c:numCache>
            </c:numRef>
          </c:cat>
          <c:val>
            <c:numRef>
              <c:f>'finansovi prognozi'!$J$38:$K$38</c:f>
              <c:numCache>
                <c:formatCode>0</c:formatCode>
                <c:ptCount val="2"/>
                <c:pt idx="0">
                  <c:v>2203</c:v>
                </c:pt>
                <c:pt idx="1">
                  <c:v>2042</c:v>
                </c:pt>
              </c:numCache>
            </c:numRef>
          </c:val>
          <c:shape val="pyramid"/>
          <c:extLst xmlns:c16r2="http://schemas.microsoft.com/office/drawing/2015/06/chart">
            <c:ext xmlns:c16="http://schemas.microsoft.com/office/drawing/2014/chart" uri="{C3380CC4-5D6E-409C-BE32-E72D297353CC}">
              <c16:uniqueId val="{00000001-9CD2-4236-9E92-C3CD5197CE85}"/>
            </c:ext>
          </c:extLst>
        </c:ser>
        <c:ser>
          <c:idx val="2"/>
          <c:order val="2"/>
          <c:tx>
            <c:strRef>
              <c:f>'finansovi prognozi'!$I$39</c:f>
              <c:strCache>
                <c:ptCount val="1"/>
                <c:pt idx="0">
                  <c:v>Финансов резултат</c:v>
                </c:pt>
              </c:strCache>
            </c:strRef>
          </c:tx>
          <c:spPr>
            <a:solidFill>
              <a:schemeClr val="accent6">
                <a:lumMod val="60000"/>
                <a:lumOff val="40000"/>
              </a:schemeClr>
            </a:solidFill>
          </c:spPr>
          <c:invertIfNegative val="0"/>
          <c:cat>
            <c:numRef>
              <c:f>'finansovi prognozi'!$J$36:$K$36</c:f>
              <c:numCache>
                <c:formatCode>General</c:formatCode>
                <c:ptCount val="2"/>
                <c:pt idx="0">
                  <c:v>2022</c:v>
                </c:pt>
                <c:pt idx="1">
                  <c:v>2021</c:v>
                </c:pt>
              </c:numCache>
            </c:numRef>
          </c:cat>
          <c:val>
            <c:numRef>
              <c:f>'finansovi prognozi'!$J$39:$K$39</c:f>
              <c:numCache>
                <c:formatCode>0</c:formatCode>
                <c:ptCount val="2"/>
                <c:pt idx="0">
                  <c:v>120</c:v>
                </c:pt>
                <c:pt idx="1">
                  <c:v>224</c:v>
                </c:pt>
              </c:numCache>
            </c:numRef>
          </c:val>
          <c:shape val="pyramid"/>
          <c:extLst xmlns:c16r2="http://schemas.microsoft.com/office/drawing/2015/06/chart">
            <c:ext xmlns:c16="http://schemas.microsoft.com/office/drawing/2014/chart" uri="{C3380CC4-5D6E-409C-BE32-E72D297353CC}">
              <c16:uniqueId val="{00000002-9CD2-4236-9E92-C3CD5197CE85}"/>
            </c:ext>
          </c:extLst>
        </c:ser>
        <c:dLbls>
          <c:showLegendKey val="0"/>
          <c:showVal val="0"/>
          <c:showCatName val="0"/>
          <c:showSerName val="0"/>
          <c:showPercent val="0"/>
          <c:showBubbleSize val="0"/>
        </c:dLbls>
        <c:gapWidth val="150"/>
        <c:shape val="box"/>
        <c:axId val="106301952"/>
        <c:axId val="568593216"/>
        <c:axId val="0"/>
      </c:bar3DChart>
      <c:catAx>
        <c:axId val="106301952"/>
        <c:scaling>
          <c:orientation val="minMax"/>
        </c:scaling>
        <c:delete val="0"/>
        <c:axPos val="b"/>
        <c:numFmt formatCode="General" sourceLinked="1"/>
        <c:majorTickMark val="none"/>
        <c:minorTickMark val="none"/>
        <c:tickLblPos val="low"/>
        <c:txPr>
          <a:bodyPr rot="0" vert="horz"/>
          <a:lstStyle/>
          <a:p>
            <a:pPr>
              <a:defRPr sz="1000" b="0" i="0" u="none" strike="noStrike" baseline="0">
                <a:solidFill>
                  <a:srgbClr val="000000"/>
                </a:solidFill>
                <a:latin typeface="Calibri"/>
                <a:ea typeface="Calibri"/>
                <a:cs typeface="Calibri"/>
              </a:defRPr>
            </a:pPr>
            <a:endParaRPr lang="bg-BG"/>
          </a:p>
        </c:txPr>
        <c:crossAx val="568593216"/>
        <c:crosses val="autoZero"/>
        <c:auto val="1"/>
        <c:lblAlgn val="ctr"/>
        <c:lblOffset val="100"/>
        <c:tickLblSkip val="1"/>
        <c:tickMarkSkip val="1"/>
        <c:noMultiLvlLbl val="0"/>
      </c:catAx>
      <c:valAx>
        <c:axId val="568593216"/>
        <c:scaling>
          <c:orientation val="minMax"/>
        </c:scaling>
        <c:delete val="0"/>
        <c:axPos val="l"/>
        <c:majorGridlines/>
        <c:numFmt formatCode="0.00" sourceLinked="0"/>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bg-BG"/>
          </a:p>
        </c:txPr>
        <c:crossAx val="106301952"/>
        <c:crosses val="autoZero"/>
        <c:crossBetween val="between"/>
        <c:minorUnit val="5.8920000000000003"/>
      </c:valAx>
      <c:spPr>
        <a:noFill/>
        <a:ln w="25400">
          <a:noFill/>
        </a:ln>
      </c:spPr>
    </c:plotArea>
    <c:legend>
      <c:legendPos val="r"/>
      <c:layout>
        <c:manualLayout>
          <c:xMode val="edge"/>
          <c:yMode val="edge"/>
          <c:x val="0.75153943614655905"/>
          <c:y val="0.44362259477412935"/>
          <c:w val="0.22728007141529002"/>
          <c:h val="0.21053275684195968"/>
        </c:manualLayout>
      </c:layout>
      <c:overlay val="0"/>
      <c:txPr>
        <a:bodyPr/>
        <a:lstStyle/>
        <a:p>
          <a:pPr>
            <a:defRPr sz="920" b="0" i="0" u="none" strike="noStrike" baseline="0">
              <a:solidFill>
                <a:srgbClr val="000000"/>
              </a:solidFill>
              <a:latin typeface="Calibri"/>
              <a:ea typeface="Calibri"/>
              <a:cs typeface="Calibri"/>
            </a:defRPr>
          </a:pPr>
          <a:endParaRPr lang="bg-BG"/>
        </a:p>
      </c:txPr>
    </c:legend>
    <c:plotVisOnly val="1"/>
    <c:dispBlanksAs val="gap"/>
    <c:showDLblsOverMax val="0"/>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chemeClr val="accent6">
          <a:lumMod val="75000"/>
        </a:schemeClr>
      </a:solidFill>
    </a:ln>
    <a:effectLst>
      <a:outerShdw blurRad="50800" dist="38100" dir="5400000" algn="t" rotWithShape="0">
        <a:schemeClr val="accent6">
          <a:lumMod val="20000"/>
          <a:lumOff val="80000"/>
          <a:alpha val="40000"/>
        </a:schemeClr>
      </a:outerShdw>
    </a:effectLst>
  </c:spPr>
  <c:txPr>
    <a:bodyPr/>
    <a:lstStyle/>
    <a:p>
      <a:pPr>
        <a:defRPr sz="1000" b="0" i="0" u="none" strike="noStrike" baseline="0">
          <a:solidFill>
            <a:srgbClr val="000000"/>
          </a:solidFill>
          <a:latin typeface="Calibri"/>
          <a:ea typeface="Calibri"/>
          <a:cs typeface="Calibri"/>
        </a:defRPr>
      </a:pPr>
      <a:endParaRPr lang="bg-BG"/>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24"/>
    </mc:Choice>
    <mc:Fallback>
      <c:style val="24"/>
    </mc:Fallback>
  </mc:AlternateContent>
  <c:chart>
    <c:title>
      <c:tx>
        <c:rich>
          <a:bodyPr/>
          <a:lstStyle/>
          <a:p>
            <a:pPr>
              <a:defRPr sz="1050" b="1" i="0" u="none" strike="noStrike" baseline="0">
                <a:solidFill>
                  <a:srgbClr val="000000"/>
                </a:solidFill>
                <a:latin typeface="Calibri"/>
                <a:ea typeface="Calibri"/>
                <a:cs typeface="Calibri"/>
              </a:defRPr>
            </a:pPr>
            <a:r>
              <a:rPr lang="bg-BG"/>
              <a:t>Относителен дял в приходите от продажби </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1"/>
          <c:order val="0"/>
          <c:tx>
            <c:strRef>
              <c:f>'harakteristika na deynostta'!$A$26</c:f>
              <c:strCache>
                <c:ptCount val="1"/>
                <c:pt idx="0">
                  <c:v>Приходи от медицински услуги </c:v>
                </c:pt>
              </c:strCache>
            </c:strRef>
          </c:tx>
          <c:invertIfNegative val="0"/>
          <c:cat>
            <c:numRef>
              <c:f>'harakteristika na deynostta'!$B$25:$C$25</c:f>
              <c:numCache>
                <c:formatCode>General</c:formatCode>
                <c:ptCount val="2"/>
                <c:pt idx="0">
                  <c:v>2021</c:v>
                </c:pt>
                <c:pt idx="1">
                  <c:v>2020</c:v>
                </c:pt>
              </c:numCache>
            </c:numRef>
          </c:cat>
          <c:val>
            <c:numRef>
              <c:f>'harakteristika na deynostta'!$B$26:$C$26</c:f>
              <c:numCache>
                <c:formatCode>0.00</c:formatCode>
                <c:ptCount val="2"/>
                <c:pt idx="0">
                  <c:v>93.94</c:v>
                </c:pt>
                <c:pt idx="1">
                  <c:v>92.18</c:v>
                </c:pt>
              </c:numCache>
            </c:numRef>
          </c:val>
          <c:extLst xmlns:c16r2="http://schemas.microsoft.com/office/drawing/2015/06/chart">
            <c:ext xmlns:c16="http://schemas.microsoft.com/office/drawing/2014/chart" uri="{C3380CC4-5D6E-409C-BE32-E72D297353CC}">
              <c16:uniqueId val="{00000000-5748-4397-A162-E8D3A8CE8E87}"/>
            </c:ext>
          </c:extLst>
        </c:ser>
        <c:ser>
          <c:idx val="2"/>
          <c:order val="1"/>
          <c:tx>
            <c:strRef>
              <c:f>'harakteristika na deynostta'!$A$27</c:f>
              <c:strCache>
                <c:ptCount val="1"/>
                <c:pt idx="0">
                  <c:v>Наеми </c:v>
                </c:pt>
              </c:strCache>
            </c:strRef>
          </c:tx>
          <c:invertIfNegative val="0"/>
          <c:cat>
            <c:numRef>
              <c:f>'harakteristika na deynostta'!$B$25:$C$25</c:f>
              <c:numCache>
                <c:formatCode>General</c:formatCode>
                <c:ptCount val="2"/>
                <c:pt idx="0">
                  <c:v>2021</c:v>
                </c:pt>
                <c:pt idx="1">
                  <c:v>2020</c:v>
                </c:pt>
              </c:numCache>
            </c:numRef>
          </c:cat>
          <c:val>
            <c:numRef>
              <c:f>'harakteristika na deynostta'!$B$27:$C$27</c:f>
              <c:numCache>
                <c:formatCode>0.00</c:formatCode>
                <c:ptCount val="2"/>
                <c:pt idx="0">
                  <c:v>3.49</c:v>
                </c:pt>
                <c:pt idx="1">
                  <c:v>4.41</c:v>
                </c:pt>
              </c:numCache>
            </c:numRef>
          </c:val>
          <c:extLst xmlns:c16r2="http://schemas.microsoft.com/office/drawing/2015/06/chart">
            <c:ext xmlns:c16="http://schemas.microsoft.com/office/drawing/2014/chart" uri="{C3380CC4-5D6E-409C-BE32-E72D297353CC}">
              <c16:uniqueId val="{00000001-5748-4397-A162-E8D3A8CE8E87}"/>
            </c:ext>
          </c:extLst>
        </c:ser>
        <c:ser>
          <c:idx val="3"/>
          <c:order val="2"/>
          <c:tx>
            <c:strRef>
              <c:f>'harakteristika na deynostta'!$A$28</c:f>
              <c:strCache>
                <c:ptCount val="1"/>
                <c:pt idx="0">
                  <c:v>Приходи от финансиране </c:v>
                </c:pt>
              </c:strCache>
            </c:strRef>
          </c:tx>
          <c:invertIfNegative val="0"/>
          <c:cat>
            <c:numRef>
              <c:f>'harakteristika na deynostta'!$B$25:$C$25</c:f>
              <c:numCache>
                <c:formatCode>General</c:formatCode>
                <c:ptCount val="2"/>
                <c:pt idx="0">
                  <c:v>2021</c:v>
                </c:pt>
                <c:pt idx="1">
                  <c:v>2020</c:v>
                </c:pt>
              </c:numCache>
            </c:numRef>
          </c:cat>
          <c:val>
            <c:numRef>
              <c:f>'harakteristika na deynostta'!$B$28:$C$28</c:f>
              <c:numCache>
                <c:formatCode>0.00</c:formatCode>
                <c:ptCount val="2"/>
                <c:pt idx="0">
                  <c:v>1.53</c:v>
                </c:pt>
                <c:pt idx="1">
                  <c:v>2.0699999999999998</c:v>
                </c:pt>
              </c:numCache>
            </c:numRef>
          </c:val>
          <c:extLst xmlns:c16r2="http://schemas.microsoft.com/office/drawing/2015/06/chart">
            <c:ext xmlns:c16="http://schemas.microsoft.com/office/drawing/2014/chart" uri="{C3380CC4-5D6E-409C-BE32-E72D297353CC}">
              <c16:uniqueId val="{00000002-5748-4397-A162-E8D3A8CE8E87}"/>
            </c:ext>
          </c:extLst>
        </c:ser>
        <c:ser>
          <c:idx val="4"/>
          <c:order val="3"/>
          <c:tx>
            <c:strRef>
              <c:f>'harakteristika na deynostta'!$A$29</c:f>
              <c:strCache>
                <c:ptCount val="1"/>
                <c:pt idx="0">
                  <c:v>Други</c:v>
                </c:pt>
              </c:strCache>
            </c:strRef>
          </c:tx>
          <c:invertIfNegative val="0"/>
          <c:cat>
            <c:numRef>
              <c:f>'harakteristika na deynostta'!$B$25:$C$25</c:f>
              <c:numCache>
                <c:formatCode>General</c:formatCode>
                <c:ptCount val="2"/>
                <c:pt idx="0">
                  <c:v>2021</c:v>
                </c:pt>
                <c:pt idx="1">
                  <c:v>2020</c:v>
                </c:pt>
              </c:numCache>
            </c:numRef>
          </c:cat>
          <c:val>
            <c:numRef>
              <c:f>'harakteristika na deynostta'!$B$29:$C$29</c:f>
              <c:numCache>
                <c:formatCode>0.00</c:formatCode>
                <c:ptCount val="2"/>
                <c:pt idx="0">
                  <c:v>1.05</c:v>
                </c:pt>
                <c:pt idx="1">
                  <c:v>1.33</c:v>
                </c:pt>
              </c:numCache>
            </c:numRef>
          </c:val>
          <c:extLst xmlns:c16r2="http://schemas.microsoft.com/office/drawing/2015/06/chart">
            <c:ext xmlns:c16="http://schemas.microsoft.com/office/drawing/2014/chart" uri="{C3380CC4-5D6E-409C-BE32-E72D297353CC}">
              <c16:uniqueId val="{00000003-5748-4397-A162-E8D3A8CE8E87}"/>
            </c:ext>
          </c:extLst>
        </c:ser>
        <c:ser>
          <c:idx val="5"/>
          <c:order val="4"/>
          <c:tx>
            <c:strRef>
              <c:f>'harakteristika na deynostta'!$A$30</c:f>
              <c:strCache>
                <c:ptCount val="1"/>
              </c:strCache>
            </c:strRef>
          </c:tx>
          <c:invertIfNegative val="0"/>
          <c:cat>
            <c:numRef>
              <c:f>'harakteristika na deynostta'!$B$25:$C$25</c:f>
              <c:numCache>
                <c:formatCode>General</c:formatCode>
                <c:ptCount val="2"/>
                <c:pt idx="0">
                  <c:v>2021</c:v>
                </c:pt>
                <c:pt idx="1">
                  <c:v>2020</c:v>
                </c:pt>
              </c:numCache>
            </c:numRef>
          </c:cat>
          <c:val>
            <c:numRef>
              <c:f>'harakteristika na deynostta'!$B$30:$C$30</c:f>
              <c:numCache>
                <c:formatCode>General</c:formatCode>
                <c:ptCount val="2"/>
              </c:numCache>
            </c:numRef>
          </c:val>
          <c:extLst xmlns:c16r2="http://schemas.microsoft.com/office/drawing/2015/06/chart">
            <c:ext xmlns:c16="http://schemas.microsoft.com/office/drawing/2014/chart" uri="{C3380CC4-5D6E-409C-BE32-E72D297353CC}">
              <c16:uniqueId val="{00000004-5748-4397-A162-E8D3A8CE8E87}"/>
            </c:ext>
          </c:extLst>
        </c:ser>
        <c:ser>
          <c:idx val="6"/>
          <c:order val="5"/>
          <c:tx>
            <c:strRef>
              <c:f>'harakteristika na deynostta'!$A$31</c:f>
              <c:strCache>
                <c:ptCount val="1"/>
              </c:strCache>
            </c:strRef>
          </c:tx>
          <c:invertIfNegative val="0"/>
          <c:cat>
            <c:numRef>
              <c:f>'harakteristika na deynostta'!$B$25:$C$25</c:f>
              <c:numCache>
                <c:formatCode>General</c:formatCode>
                <c:ptCount val="2"/>
                <c:pt idx="0">
                  <c:v>2021</c:v>
                </c:pt>
                <c:pt idx="1">
                  <c:v>2020</c:v>
                </c:pt>
              </c:numCache>
            </c:numRef>
          </c:cat>
          <c:val>
            <c:numRef>
              <c:f>'harakteristika na deynostta'!$B$31:$C$31</c:f>
              <c:numCache>
                <c:formatCode>General</c:formatCode>
                <c:ptCount val="2"/>
              </c:numCache>
            </c:numRef>
          </c:val>
          <c:extLst xmlns:c16r2="http://schemas.microsoft.com/office/drawing/2015/06/chart">
            <c:ext xmlns:c16="http://schemas.microsoft.com/office/drawing/2014/chart" uri="{C3380CC4-5D6E-409C-BE32-E72D297353CC}">
              <c16:uniqueId val="{00000005-5748-4397-A162-E8D3A8CE8E87}"/>
            </c:ext>
          </c:extLst>
        </c:ser>
        <c:ser>
          <c:idx val="7"/>
          <c:order val="6"/>
          <c:tx>
            <c:strRef>
              <c:f>'harakteristika na deynostta'!$A$32</c:f>
              <c:strCache>
                <c:ptCount val="1"/>
              </c:strCache>
            </c:strRef>
          </c:tx>
          <c:invertIfNegative val="0"/>
          <c:cat>
            <c:numRef>
              <c:f>'harakteristika na deynostta'!$B$25:$C$25</c:f>
              <c:numCache>
                <c:formatCode>General</c:formatCode>
                <c:ptCount val="2"/>
                <c:pt idx="0">
                  <c:v>2021</c:v>
                </c:pt>
                <c:pt idx="1">
                  <c:v>2020</c:v>
                </c:pt>
              </c:numCache>
            </c:numRef>
          </c:cat>
          <c:val>
            <c:numRef>
              <c:f>'harakteristika na deynostta'!$B$32:$C$32</c:f>
              <c:numCache>
                <c:formatCode>General</c:formatCode>
                <c:ptCount val="2"/>
              </c:numCache>
            </c:numRef>
          </c:val>
          <c:extLst xmlns:c16r2="http://schemas.microsoft.com/office/drawing/2015/06/chart">
            <c:ext xmlns:c16="http://schemas.microsoft.com/office/drawing/2014/chart" uri="{C3380CC4-5D6E-409C-BE32-E72D297353CC}">
              <c16:uniqueId val="{00000006-5748-4397-A162-E8D3A8CE8E87}"/>
            </c:ext>
          </c:extLst>
        </c:ser>
        <c:dLbls>
          <c:showLegendKey val="0"/>
          <c:showVal val="0"/>
          <c:showCatName val="0"/>
          <c:showSerName val="0"/>
          <c:showPercent val="0"/>
          <c:showBubbleSize val="0"/>
        </c:dLbls>
        <c:gapWidth val="150"/>
        <c:shape val="cone"/>
        <c:axId val="96956928"/>
        <c:axId val="66882944"/>
        <c:axId val="0"/>
      </c:bar3DChart>
      <c:catAx>
        <c:axId val="96956928"/>
        <c:scaling>
          <c:orientation val="minMax"/>
        </c:scaling>
        <c:delete val="0"/>
        <c:axPos val="b"/>
        <c:numFmt formatCode="General"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bg-BG"/>
          </a:p>
        </c:txPr>
        <c:crossAx val="66882944"/>
        <c:crosses val="autoZero"/>
        <c:auto val="1"/>
        <c:lblAlgn val="ctr"/>
        <c:lblOffset val="100"/>
        <c:noMultiLvlLbl val="0"/>
      </c:catAx>
      <c:valAx>
        <c:axId val="66882944"/>
        <c:scaling>
          <c:orientation val="minMax"/>
        </c:scaling>
        <c:delete val="0"/>
        <c:axPos val="l"/>
        <c:majorGridlines/>
        <c:numFmt formatCode="0.00"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bg-BG"/>
          </a:p>
        </c:txPr>
        <c:crossAx val="96956928"/>
        <c:crosses val="autoZero"/>
        <c:crossBetween val="between"/>
      </c:valAx>
      <c:spPr>
        <a:noFill/>
        <a:ln w="25400">
          <a:noFill/>
        </a:ln>
      </c:spPr>
    </c:plotArea>
    <c:legend>
      <c:legendPos val="r"/>
      <c:layout>
        <c:manualLayout>
          <c:xMode val="edge"/>
          <c:yMode val="edge"/>
          <c:x val="0.6541437585744686"/>
          <c:y val="0.15125036177422538"/>
          <c:w val="0.31900709322261761"/>
          <c:h val="0.78472246520509847"/>
        </c:manualLayout>
      </c:layout>
      <c:overlay val="0"/>
      <c:txPr>
        <a:bodyPr/>
        <a:lstStyle/>
        <a:p>
          <a:pPr>
            <a:defRPr sz="550" b="0" i="0" u="none" strike="noStrike" baseline="0">
              <a:solidFill>
                <a:srgbClr val="000000"/>
              </a:solidFill>
              <a:latin typeface="Calibri"/>
              <a:ea typeface="Calibri"/>
              <a:cs typeface="Calibri"/>
            </a:defRPr>
          </a:pPr>
          <a:endParaRPr lang="bg-BG"/>
        </a:p>
      </c:txPr>
    </c:legend>
    <c:plotVisOnly val="1"/>
    <c:dispBlanksAs val="gap"/>
    <c:showDLblsOverMax val="0"/>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chemeClr val="accent6">
          <a:lumMod val="75000"/>
        </a:schemeClr>
      </a:solidFill>
    </a:ln>
    <a:effectLst>
      <a:outerShdw blurRad="50800" dist="50800" dir="5400000" algn="ctr" rotWithShape="0">
        <a:schemeClr val="accent6">
          <a:lumMod val="20000"/>
          <a:lumOff val="80000"/>
        </a:schemeClr>
      </a:outerShdw>
    </a:effectLst>
  </c:spPr>
  <c:txPr>
    <a:bodyPr/>
    <a:lstStyle/>
    <a:p>
      <a:pPr>
        <a:defRPr sz="1000" b="0" i="0" u="none" strike="noStrike" baseline="0">
          <a:solidFill>
            <a:srgbClr val="000000"/>
          </a:solidFill>
          <a:latin typeface="Calibri"/>
          <a:ea typeface="Calibri"/>
          <a:cs typeface="Calibri"/>
        </a:defRPr>
      </a:pPr>
      <a:endParaRPr lang="bg-BG"/>
    </a:p>
  </c:txPr>
  <c:externalData r:id="rId1">
    <c:autoUpdate val="0"/>
  </c:externalData>
</c:chartSpace>
</file>

<file path=word/charts/chart20.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13"/>
    </mc:Choice>
    <mc:Fallback>
      <c:style val="13"/>
    </mc:Fallback>
  </mc:AlternateContent>
  <c:chart>
    <c:title>
      <c:tx>
        <c:rich>
          <a:bodyPr/>
          <a:lstStyle/>
          <a:p>
            <a:pPr>
              <a:defRPr sz="1050" b="1" i="0" u="none" strike="noStrike" baseline="0">
                <a:solidFill>
                  <a:srgbClr val="000000"/>
                </a:solidFill>
                <a:latin typeface="Calibri"/>
                <a:ea typeface="Calibri"/>
                <a:cs typeface="Calibri"/>
              </a:defRPr>
            </a:pPr>
            <a:r>
              <a:rPr lang="bg-BG"/>
              <a:t>Финансова автономност</a:t>
            </a:r>
          </a:p>
        </c:rich>
      </c:tx>
      <c:overlay val="0"/>
    </c:title>
    <c:autoTitleDeleted val="0"/>
    <c:view3D>
      <c:rotX val="10"/>
      <c:hPercent val="84"/>
      <c:rotY val="15"/>
      <c:depthPercent val="100"/>
      <c:rAngAx val="1"/>
    </c:view3D>
    <c:floor>
      <c:thickness val="0"/>
    </c:floor>
    <c:sideWall>
      <c:thickness val="0"/>
    </c:sideWall>
    <c:backWall>
      <c:thickness val="0"/>
    </c:backWall>
    <c:plotArea>
      <c:layout/>
      <c:bar3DChart>
        <c:barDir val="col"/>
        <c:grouping val="clustered"/>
        <c:varyColors val="0"/>
        <c:ser>
          <c:idx val="0"/>
          <c:order val="0"/>
          <c:tx>
            <c:strRef>
              <c:f>'finansovi prognozi'!$I$64</c:f>
              <c:strCache>
                <c:ptCount val="1"/>
                <c:pt idx="0">
                  <c:v>Коеф. на финансова автономност (7/8)</c:v>
                </c:pt>
              </c:strCache>
            </c:strRef>
          </c:tx>
          <c:spPr>
            <a:solidFill>
              <a:schemeClr val="accent6">
                <a:lumMod val="50000"/>
              </a:schemeClr>
            </a:solidFill>
          </c:spPr>
          <c:invertIfNegative val="0"/>
          <c:cat>
            <c:numRef>
              <c:f>'finansovi prognozi'!$J$63:$K$63</c:f>
              <c:numCache>
                <c:formatCode>General</c:formatCode>
                <c:ptCount val="2"/>
                <c:pt idx="0">
                  <c:v>2022</c:v>
                </c:pt>
                <c:pt idx="1">
                  <c:v>2021</c:v>
                </c:pt>
              </c:numCache>
            </c:numRef>
          </c:cat>
          <c:val>
            <c:numRef>
              <c:f>'finansovi prognozi'!$J$64:$K$64</c:f>
              <c:numCache>
                <c:formatCode>0.00</c:formatCode>
                <c:ptCount val="2"/>
                <c:pt idx="0">
                  <c:v>0.81268882175226587</c:v>
                </c:pt>
                <c:pt idx="1">
                  <c:v>0.56716417910447758</c:v>
                </c:pt>
              </c:numCache>
            </c:numRef>
          </c:val>
          <c:shape val="pyramid"/>
          <c:extLst xmlns:c16r2="http://schemas.microsoft.com/office/drawing/2015/06/chart">
            <c:ext xmlns:c16="http://schemas.microsoft.com/office/drawing/2014/chart" uri="{C3380CC4-5D6E-409C-BE32-E72D297353CC}">
              <c16:uniqueId val="{00000000-EC19-4588-ACF2-DA02256966E0}"/>
            </c:ext>
          </c:extLst>
        </c:ser>
        <c:ser>
          <c:idx val="1"/>
          <c:order val="1"/>
          <c:tx>
            <c:strRef>
              <c:f>'finansovi prognozi'!$I$65</c:f>
              <c:strCache>
                <c:ptCount val="1"/>
                <c:pt idx="0">
                  <c:v>Коеф. на платежоспособност (9/8)</c:v>
                </c:pt>
              </c:strCache>
            </c:strRef>
          </c:tx>
          <c:spPr>
            <a:solidFill>
              <a:schemeClr val="accent6">
                <a:lumMod val="60000"/>
                <a:lumOff val="40000"/>
              </a:schemeClr>
            </a:solidFill>
          </c:spPr>
          <c:invertIfNegative val="0"/>
          <c:cat>
            <c:numRef>
              <c:f>'finansovi prognozi'!$J$63:$K$63</c:f>
              <c:numCache>
                <c:formatCode>General</c:formatCode>
                <c:ptCount val="2"/>
                <c:pt idx="0">
                  <c:v>2022</c:v>
                </c:pt>
                <c:pt idx="1">
                  <c:v>2021</c:v>
                </c:pt>
              </c:numCache>
            </c:numRef>
          </c:cat>
          <c:val>
            <c:numRef>
              <c:f>'finansovi prognozi'!$J$65:$K$65</c:f>
              <c:numCache>
                <c:formatCode>0.00</c:formatCode>
                <c:ptCount val="2"/>
                <c:pt idx="0">
                  <c:v>1.8126888217522659</c:v>
                </c:pt>
                <c:pt idx="1">
                  <c:v>1.5671641791044777</c:v>
                </c:pt>
              </c:numCache>
            </c:numRef>
          </c:val>
          <c:shape val="pyramid"/>
          <c:extLst xmlns:c16r2="http://schemas.microsoft.com/office/drawing/2015/06/chart">
            <c:ext xmlns:c16="http://schemas.microsoft.com/office/drawing/2014/chart" uri="{C3380CC4-5D6E-409C-BE32-E72D297353CC}">
              <c16:uniqueId val="{00000001-EC19-4588-ACF2-DA02256966E0}"/>
            </c:ext>
          </c:extLst>
        </c:ser>
        <c:dLbls>
          <c:showLegendKey val="0"/>
          <c:showVal val="0"/>
          <c:showCatName val="0"/>
          <c:showSerName val="0"/>
          <c:showPercent val="0"/>
          <c:showBubbleSize val="0"/>
        </c:dLbls>
        <c:gapWidth val="150"/>
        <c:shape val="box"/>
        <c:axId val="557356032"/>
        <c:axId val="608690752"/>
        <c:axId val="0"/>
      </c:bar3DChart>
      <c:catAx>
        <c:axId val="557356032"/>
        <c:scaling>
          <c:orientation val="minMax"/>
        </c:scaling>
        <c:delete val="0"/>
        <c:axPos val="b"/>
        <c:numFmt formatCode="General" sourceLinked="1"/>
        <c:majorTickMark val="none"/>
        <c:minorTickMark val="none"/>
        <c:tickLblPos val="low"/>
        <c:txPr>
          <a:bodyPr rot="0" vert="horz"/>
          <a:lstStyle/>
          <a:p>
            <a:pPr>
              <a:defRPr sz="1050" b="0" i="0" u="none" strike="noStrike" baseline="0">
                <a:solidFill>
                  <a:srgbClr val="000000"/>
                </a:solidFill>
                <a:latin typeface="Calibri"/>
                <a:ea typeface="Calibri"/>
                <a:cs typeface="Calibri"/>
              </a:defRPr>
            </a:pPr>
            <a:endParaRPr lang="bg-BG"/>
          </a:p>
        </c:txPr>
        <c:crossAx val="608690752"/>
        <c:crosses val="autoZero"/>
        <c:auto val="1"/>
        <c:lblAlgn val="ctr"/>
        <c:lblOffset val="100"/>
        <c:tickLblSkip val="1"/>
        <c:tickMarkSkip val="1"/>
        <c:noMultiLvlLbl val="0"/>
      </c:catAx>
      <c:valAx>
        <c:axId val="608690752"/>
        <c:scaling>
          <c:orientation val="minMax"/>
        </c:scaling>
        <c:delete val="0"/>
        <c:axPos val="l"/>
        <c:majorGridlines/>
        <c:numFmt formatCode="0.00" sourceLinked="0"/>
        <c:majorTickMark val="none"/>
        <c:minorTickMark val="none"/>
        <c:tickLblPos val="nextTo"/>
        <c:txPr>
          <a:bodyPr rot="0" vert="horz"/>
          <a:lstStyle/>
          <a:p>
            <a:pPr>
              <a:defRPr sz="1050" b="0" i="0" u="none" strike="noStrike" baseline="0">
                <a:solidFill>
                  <a:srgbClr val="000000"/>
                </a:solidFill>
                <a:latin typeface="Calibri"/>
                <a:ea typeface="Calibri"/>
                <a:cs typeface="Calibri"/>
              </a:defRPr>
            </a:pPr>
            <a:endParaRPr lang="bg-BG"/>
          </a:p>
        </c:txPr>
        <c:crossAx val="557356032"/>
        <c:crosses val="autoZero"/>
        <c:crossBetween val="between"/>
      </c:valAx>
      <c:spPr>
        <a:noFill/>
        <a:ln w="25400">
          <a:noFill/>
        </a:ln>
      </c:spPr>
    </c:plotArea>
    <c:legend>
      <c:legendPos val="r"/>
      <c:layout>
        <c:manualLayout>
          <c:xMode val="edge"/>
          <c:yMode val="edge"/>
          <c:x val="0.65100714467581844"/>
          <c:y val="0.43170911359770142"/>
          <c:w val="0.32626232192377846"/>
          <c:h val="0.25683959922901223"/>
        </c:manualLayout>
      </c:layout>
      <c:overlay val="0"/>
      <c:txPr>
        <a:bodyPr/>
        <a:lstStyle/>
        <a:p>
          <a:pPr>
            <a:defRPr sz="920" b="0" i="0" u="none" strike="noStrike" baseline="0">
              <a:solidFill>
                <a:srgbClr val="000000"/>
              </a:solidFill>
              <a:latin typeface="Calibri"/>
              <a:ea typeface="Calibri"/>
              <a:cs typeface="Calibri"/>
            </a:defRPr>
          </a:pPr>
          <a:endParaRPr lang="bg-BG"/>
        </a:p>
      </c:txPr>
    </c:legend>
    <c:plotVisOnly val="1"/>
    <c:dispBlanksAs val="gap"/>
    <c:showDLblsOverMax val="0"/>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chemeClr val="accent6">
          <a:lumMod val="75000"/>
        </a:schemeClr>
      </a:solidFill>
    </a:ln>
    <a:effectLst>
      <a:outerShdw blurRad="50800" dist="38100" dir="5400000" algn="t" rotWithShape="0">
        <a:schemeClr val="accent6">
          <a:lumMod val="20000"/>
          <a:lumOff val="80000"/>
          <a:alpha val="40000"/>
        </a:schemeClr>
      </a:outerShdw>
    </a:effectLst>
  </c:spPr>
  <c:txPr>
    <a:bodyPr/>
    <a:lstStyle/>
    <a:p>
      <a:pPr>
        <a:defRPr sz="1050" b="0" i="0" u="none" strike="noStrike" baseline="0">
          <a:solidFill>
            <a:srgbClr val="000000"/>
          </a:solidFill>
          <a:latin typeface="Calibri"/>
          <a:ea typeface="Calibri"/>
          <a:cs typeface="Calibri"/>
        </a:defRPr>
      </a:pPr>
      <a:endParaRPr lang="bg-BG"/>
    </a:p>
  </c:txPr>
  <c:externalData r:id="rId1">
    <c:autoUpdate val="0"/>
  </c:externalData>
</c:chartSpace>
</file>

<file path=word/charts/chart21.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29"/>
    </mc:Choice>
    <mc:Fallback>
      <c:style val="29"/>
    </mc:Fallback>
  </mc:AlternateContent>
  <c:chart>
    <c:title>
      <c:tx>
        <c:rich>
          <a:bodyPr/>
          <a:lstStyle/>
          <a:p>
            <a:pPr>
              <a:defRPr sz="1050" b="1" i="0" u="none" strike="noStrike" baseline="0">
                <a:solidFill>
                  <a:srgbClr val="000000"/>
                </a:solidFill>
                <a:latin typeface="Calibri"/>
                <a:ea typeface="Calibri"/>
                <a:cs typeface="Calibri"/>
              </a:defRPr>
            </a:pPr>
            <a:r>
              <a:rPr lang="bg-BG"/>
              <a:t>Ефективност</a:t>
            </a:r>
          </a:p>
        </c:rich>
      </c:tx>
      <c:overlay val="0"/>
    </c:title>
    <c:autoTitleDeleted val="0"/>
    <c:view3D>
      <c:rotX val="12"/>
      <c:hPercent val="84"/>
      <c:rotY val="23"/>
      <c:depthPercent val="100"/>
      <c:rAngAx val="1"/>
    </c:view3D>
    <c:floor>
      <c:thickness val="0"/>
    </c:floor>
    <c:sideWall>
      <c:thickness val="0"/>
    </c:sideWall>
    <c:backWall>
      <c:thickness val="0"/>
    </c:backWall>
    <c:plotArea>
      <c:layout/>
      <c:bar3DChart>
        <c:barDir val="col"/>
        <c:grouping val="clustered"/>
        <c:varyColors val="0"/>
        <c:ser>
          <c:idx val="0"/>
          <c:order val="0"/>
          <c:tx>
            <c:strRef>
              <c:f>'finansovi prognozi'!$I$113</c:f>
              <c:strCache>
                <c:ptCount val="1"/>
                <c:pt idx="0">
                  <c:v>Коеф. на ефективност на разходите (4/6)</c:v>
                </c:pt>
              </c:strCache>
            </c:strRef>
          </c:tx>
          <c:spPr>
            <a:solidFill>
              <a:schemeClr val="accent6">
                <a:lumMod val="50000"/>
              </a:schemeClr>
            </a:solidFill>
          </c:spPr>
          <c:invertIfNegative val="0"/>
          <c:cat>
            <c:numRef>
              <c:f>'finansovi prognozi'!$J$112:$K$112</c:f>
              <c:numCache>
                <c:formatCode>General</c:formatCode>
                <c:ptCount val="2"/>
                <c:pt idx="0">
                  <c:v>2022</c:v>
                </c:pt>
                <c:pt idx="1">
                  <c:v>2021</c:v>
                </c:pt>
              </c:numCache>
            </c:numRef>
          </c:cat>
          <c:val>
            <c:numRef>
              <c:f>'finansovi prognozi'!$J$113:$K$113</c:f>
              <c:numCache>
                <c:formatCode>0.000</c:formatCode>
                <c:ptCount val="2"/>
                <c:pt idx="0">
                  <c:v>1.0712664548343169</c:v>
                </c:pt>
                <c:pt idx="1">
                  <c:v>1.1224289911851126</c:v>
                </c:pt>
              </c:numCache>
            </c:numRef>
          </c:val>
          <c:shape val="pyramid"/>
          <c:extLst xmlns:c16r2="http://schemas.microsoft.com/office/drawing/2015/06/chart">
            <c:ext xmlns:c16="http://schemas.microsoft.com/office/drawing/2014/chart" uri="{C3380CC4-5D6E-409C-BE32-E72D297353CC}">
              <c16:uniqueId val="{00000000-CECE-4B67-9E82-8E7F98F7573F}"/>
            </c:ext>
          </c:extLst>
        </c:ser>
        <c:ser>
          <c:idx val="1"/>
          <c:order val="1"/>
          <c:tx>
            <c:strRef>
              <c:f>'finansovi prognozi'!$I$114</c:f>
              <c:strCache>
                <c:ptCount val="1"/>
                <c:pt idx="0">
                  <c:v>Коефициент на ефективност на разходите от оперативна дейност (3/5)</c:v>
                </c:pt>
              </c:strCache>
            </c:strRef>
          </c:tx>
          <c:spPr>
            <a:solidFill>
              <a:schemeClr val="accent6">
                <a:lumMod val="60000"/>
                <a:lumOff val="40000"/>
              </a:schemeClr>
            </a:solidFill>
          </c:spPr>
          <c:invertIfNegative val="0"/>
          <c:cat>
            <c:numRef>
              <c:f>'finansovi prognozi'!$J$112:$K$112</c:f>
              <c:numCache>
                <c:formatCode>General</c:formatCode>
                <c:ptCount val="2"/>
                <c:pt idx="0">
                  <c:v>2022</c:v>
                </c:pt>
                <c:pt idx="1">
                  <c:v>2021</c:v>
                </c:pt>
              </c:numCache>
            </c:numRef>
          </c:cat>
          <c:val>
            <c:numRef>
              <c:f>'finansovi prognozi'!$J$114:$K$114</c:f>
              <c:numCache>
                <c:formatCode>0.000</c:formatCode>
                <c:ptCount val="2"/>
                <c:pt idx="0">
                  <c:v>1.0727272727272728</c:v>
                </c:pt>
                <c:pt idx="1">
                  <c:v>1.1251840942562592</c:v>
                </c:pt>
              </c:numCache>
            </c:numRef>
          </c:val>
          <c:shape val="pyramid"/>
          <c:extLst xmlns:c16r2="http://schemas.microsoft.com/office/drawing/2015/06/chart">
            <c:ext xmlns:c16="http://schemas.microsoft.com/office/drawing/2014/chart" uri="{C3380CC4-5D6E-409C-BE32-E72D297353CC}">
              <c16:uniqueId val="{00000001-CECE-4B67-9E82-8E7F98F7573F}"/>
            </c:ext>
          </c:extLst>
        </c:ser>
        <c:dLbls>
          <c:showLegendKey val="0"/>
          <c:showVal val="0"/>
          <c:showCatName val="0"/>
          <c:showSerName val="0"/>
          <c:showPercent val="0"/>
          <c:showBubbleSize val="0"/>
        </c:dLbls>
        <c:gapWidth val="150"/>
        <c:shape val="box"/>
        <c:axId val="565320192"/>
        <c:axId val="608693632"/>
        <c:axId val="0"/>
      </c:bar3DChart>
      <c:catAx>
        <c:axId val="565320192"/>
        <c:scaling>
          <c:orientation val="minMax"/>
        </c:scaling>
        <c:delete val="0"/>
        <c:axPos val="b"/>
        <c:numFmt formatCode="General" sourceLinked="1"/>
        <c:majorTickMark val="none"/>
        <c:minorTickMark val="none"/>
        <c:tickLblPos val="low"/>
        <c:txPr>
          <a:bodyPr rot="0" vert="horz"/>
          <a:lstStyle/>
          <a:p>
            <a:pPr>
              <a:defRPr sz="1000" b="0" i="0" u="none" strike="noStrike" baseline="0">
                <a:solidFill>
                  <a:srgbClr val="000000"/>
                </a:solidFill>
                <a:latin typeface="Calibri"/>
                <a:ea typeface="Calibri"/>
                <a:cs typeface="Calibri"/>
              </a:defRPr>
            </a:pPr>
            <a:endParaRPr lang="bg-BG"/>
          </a:p>
        </c:txPr>
        <c:crossAx val="608693632"/>
        <c:crosses val="autoZero"/>
        <c:auto val="1"/>
        <c:lblAlgn val="ctr"/>
        <c:lblOffset val="100"/>
        <c:tickLblSkip val="1"/>
        <c:tickMarkSkip val="1"/>
        <c:noMultiLvlLbl val="0"/>
      </c:catAx>
      <c:valAx>
        <c:axId val="608693632"/>
        <c:scaling>
          <c:orientation val="minMax"/>
        </c:scaling>
        <c:delete val="0"/>
        <c:axPos val="l"/>
        <c:majorGridlines/>
        <c:numFmt formatCode="0.00" sourceLinked="0"/>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bg-BG"/>
          </a:p>
        </c:txPr>
        <c:crossAx val="565320192"/>
        <c:crosses val="autoZero"/>
        <c:crossBetween val="between"/>
      </c:valAx>
      <c:spPr>
        <a:noFill/>
        <a:ln w="25400">
          <a:noFill/>
        </a:ln>
      </c:spPr>
    </c:plotArea>
    <c:legend>
      <c:legendPos val="r"/>
      <c:layout>
        <c:manualLayout>
          <c:xMode val="edge"/>
          <c:yMode val="edge"/>
          <c:x val="0.65712137734523079"/>
          <c:y val="0.38821826964860107"/>
          <c:w val="0.32025225746480207"/>
          <c:h val="0.31696301762449069"/>
        </c:manualLayout>
      </c:layout>
      <c:overlay val="0"/>
      <c:txPr>
        <a:bodyPr/>
        <a:lstStyle/>
        <a:p>
          <a:pPr>
            <a:defRPr sz="920" b="0" i="0" u="none" strike="noStrike" baseline="0">
              <a:solidFill>
                <a:srgbClr val="000000"/>
              </a:solidFill>
              <a:latin typeface="Calibri"/>
              <a:ea typeface="Calibri"/>
              <a:cs typeface="Calibri"/>
            </a:defRPr>
          </a:pPr>
          <a:endParaRPr lang="bg-BG"/>
        </a:p>
      </c:txPr>
    </c:legend>
    <c:plotVisOnly val="1"/>
    <c:dispBlanksAs val="gap"/>
    <c:showDLblsOverMax val="0"/>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chemeClr val="accent6">
          <a:lumMod val="75000"/>
        </a:schemeClr>
      </a:solidFill>
    </a:ln>
    <a:effectLst>
      <a:outerShdw blurRad="50800" dist="38100" dir="5400000" algn="t" rotWithShape="0">
        <a:schemeClr val="accent6">
          <a:lumMod val="20000"/>
          <a:lumOff val="80000"/>
          <a:alpha val="40000"/>
        </a:schemeClr>
      </a:outerShdw>
    </a:effectLst>
  </c:spPr>
  <c:txPr>
    <a:bodyPr/>
    <a:lstStyle/>
    <a:p>
      <a:pPr>
        <a:defRPr sz="1000" b="0" i="0" u="none" strike="noStrike" baseline="0">
          <a:solidFill>
            <a:srgbClr val="000000"/>
          </a:solidFill>
          <a:latin typeface="Calibri"/>
          <a:ea typeface="Calibri"/>
          <a:cs typeface="Calibri"/>
        </a:defRPr>
      </a:pPr>
      <a:endParaRPr lang="bg-BG"/>
    </a:p>
  </c:txPr>
  <c:externalData r:id="rId1">
    <c:autoUpdate val="0"/>
  </c:externalData>
</c:chartSpace>
</file>

<file path=word/charts/chart22.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21"/>
    </mc:Choice>
    <mc:Fallback>
      <c:style val="21"/>
    </mc:Fallback>
  </mc:AlternateContent>
  <c:chart>
    <c:title>
      <c:tx>
        <c:rich>
          <a:bodyPr/>
          <a:lstStyle/>
          <a:p>
            <a:pPr>
              <a:defRPr sz="1050" b="1" i="0" u="none" strike="noStrike" baseline="0">
                <a:solidFill>
                  <a:srgbClr val="000000"/>
                </a:solidFill>
                <a:latin typeface="Calibri"/>
                <a:ea typeface="Calibri"/>
                <a:cs typeface="Calibri"/>
              </a:defRPr>
            </a:pPr>
            <a:r>
              <a:rPr lang="bg-BG"/>
              <a:t>Рентабилност</a:t>
            </a:r>
          </a:p>
        </c:rich>
      </c:tx>
      <c:layout>
        <c:manualLayout>
          <c:xMode val="edge"/>
          <c:yMode val="edge"/>
          <c:x val="0.57169582401421615"/>
          <c:y val="6.0309376221589321E-2"/>
        </c:manualLayout>
      </c:layout>
      <c:overlay val="0"/>
    </c:title>
    <c:autoTitleDeleted val="0"/>
    <c:view3D>
      <c:rotX val="10"/>
      <c:hPercent val="82"/>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'finansovi prognozi'!$I$87</c:f>
              <c:strCache>
                <c:ptCount val="1"/>
                <c:pt idx="0">
                  <c:v>Коеф. на рентабилност на приходите от продажби (1/2)</c:v>
                </c:pt>
              </c:strCache>
            </c:strRef>
          </c:tx>
          <c:spPr>
            <a:solidFill>
              <a:schemeClr val="accent6">
                <a:lumMod val="50000"/>
              </a:schemeClr>
            </a:solidFill>
          </c:spPr>
          <c:invertIfNegative val="0"/>
          <c:cat>
            <c:numRef>
              <c:f>'finansovi prognozi'!$J$86:$K$86</c:f>
              <c:numCache>
                <c:formatCode>General</c:formatCode>
                <c:ptCount val="2"/>
                <c:pt idx="0">
                  <c:v>2022</c:v>
                </c:pt>
                <c:pt idx="1">
                  <c:v>2021</c:v>
                </c:pt>
              </c:numCache>
            </c:numRef>
          </c:cat>
          <c:val>
            <c:numRef>
              <c:f>'finansovi prognozi'!$J$87:$K$87</c:f>
              <c:numCache>
                <c:formatCode>0.000</c:formatCode>
                <c:ptCount val="2"/>
                <c:pt idx="0">
                  <c:v>5.2173913043478258E-2</c:v>
                </c:pt>
                <c:pt idx="1">
                  <c:v>0.10031347962382445</c:v>
                </c:pt>
              </c:numCache>
            </c:numRef>
          </c:val>
          <c:shape val="pyramid"/>
          <c:extLst xmlns:c16r2="http://schemas.microsoft.com/office/drawing/2015/06/chart">
            <c:ext xmlns:c16="http://schemas.microsoft.com/office/drawing/2014/chart" uri="{C3380CC4-5D6E-409C-BE32-E72D297353CC}">
              <c16:uniqueId val="{00000000-D7FB-4A96-9E39-2092FEC83A57}"/>
            </c:ext>
          </c:extLst>
        </c:ser>
        <c:ser>
          <c:idx val="1"/>
          <c:order val="1"/>
          <c:tx>
            <c:strRef>
              <c:f>'finansovi prognozi'!$I$88</c:f>
              <c:strCache>
                <c:ptCount val="1"/>
                <c:pt idx="0">
                  <c:v> Коеф. на рентабилност на собствения капитал (1/7) </c:v>
                </c:pt>
              </c:strCache>
            </c:strRef>
          </c:tx>
          <c:spPr>
            <a:solidFill>
              <a:schemeClr val="accent6">
                <a:lumMod val="75000"/>
              </a:schemeClr>
            </a:solidFill>
          </c:spPr>
          <c:invertIfNegative val="0"/>
          <c:cat>
            <c:numRef>
              <c:f>'finansovi prognozi'!$J$86:$K$86</c:f>
              <c:numCache>
                <c:formatCode>General</c:formatCode>
                <c:ptCount val="2"/>
                <c:pt idx="0">
                  <c:v>2022</c:v>
                </c:pt>
                <c:pt idx="1">
                  <c:v>2021</c:v>
                </c:pt>
              </c:numCache>
            </c:numRef>
          </c:cat>
          <c:val>
            <c:numRef>
              <c:f>'finansovi prognozi'!$J$88:$K$88</c:f>
              <c:numCache>
                <c:formatCode>0.000</c:formatCode>
                <c:ptCount val="2"/>
                <c:pt idx="0">
                  <c:v>0.22304832713754646</c:v>
                </c:pt>
                <c:pt idx="1">
                  <c:v>0.53588516746411485</c:v>
                </c:pt>
              </c:numCache>
            </c:numRef>
          </c:val>
          <c:shape val="pyramid"/>
          <c:extLst xmlns:c16r2="http://schemas.microsoft.com/office/drawing/2015/06/chart">
            <c:ext xmlns:c16="http://schemas.microsoft.com/office/drawing/2014/chart" uri="{C3380CC4-5D6E-409C-BE32-E72D297353CC}">
              <c16:uniqueId val="{00000001-D7FB-4A96-9E39-2092FEC83A57}"/>
            </c:ext>
          </c:extLst>
        </c:ser>
        <c:ser>
          <c:idx val="2"/>
          <c:order val="2"/>
          <c:tx>
            <c:strRef>
              <c:f>'finansovi prognozi'!$I$89</c:f>
              <c:strCache>
                <c:ptCount val="1"/>
                <c:pt idx="0">
                  <c:v>Коеф. на рентабилност на пасивите (1/8)</c:v>
                </c:pt>
              </c:strCache>
            </c:strRef>
          </c:tx>
          <c:spPr>
            <a:solidFill>
              <a:schemeClr val="accent6">
                <a:lumMod val="60000"/>
                <a:lumOff val="40000"/>
              </a:schemeClr>
            </a:solidFill>
          </c:spPr>
          <c:invertIfNegative val="0"/>
          <c:cat>
            <c:numRef>
              <c:f>'finansovi prognozi'!$J$86:$K$86</c:f>
              <c:numCache>
                <c:formatCode>General</c:formatCode>
                <c:ptCount val="2"/>
                <c:pt idx="0">
                  <c:v>2022</c:v>
                </c:pt>
                <c:pt idx="1">
                  <c:v>2021</c:v>
                </c:pt>
              </c:numCache>
            </c:numRef>
          </c:cat>
          <c:val>
            <c:numRef>
              <c:f>'finansovi prognozi'!$J$89:$K$89</c:f>
              <c:numCache>
                <c:formatCode>0.000</c:formatCode>
                <c:ptCount val="2"/>
                <c:pt idx="0">
                  <c:v>0.18126888217522658</c:v>
                </c:pt>
                <c:pt idx="1">
                  <c:v>0.30393487109905021</c:v>
                </c:pt>
              </c:numCache>
            </c:numRef>
          </c:val>
          <c:shape val="pyramid"/>
          <c:extLst xmlns:c16r2="http://schemas.microsoft.com/office/drawing/2015/06/chart">
            <c:ext xmlns:c16="http://schemas.microsoft.com/office/drawing/2014/chart" uri="{C3380CC4-5D6E-409C-BE32-E72D297353CC}">
              <c16:uniqueId val="{00000002-D7FB-4A96-9E39-2092FEC83A57}"/>
            </c:ext>
          </c:extLst>
        </c:ser>
        <c:ser>
          <c:idx val="3"/>
          <c:order val="3"/>
          <c:tx>
            <c:strRef>
              <c:f>'finansovi prognozi'!$I$90</c:f>
              <c:strCache>
                <c:ptCount val="1"/>
                <c:pt idx="0">
                  <c:v>Коеф. на капитализация на активите (1/9)</c:v>
                </c:pt>
              </c:strCache>
            </c:strRef>
          </c:tx>
          <c:spPr>
            <a:solidFill>
              <a:schemeClr val="accent6">
                <a:lumMod val="40000"/>
                <a:lumOff val="60000"/>
              </a:schemeClr>
            </a:solidFill>
          </c:spPr>
          <c:invertIfNegative val="0"/>
          <c:cat>
            <c:numRef>
              <c:f>'finansovi prognozi'!$J$86:$K$86</c:f>
              <c:numCache>
                <c:formatCode>General</c:formatCode>
                <c:ptCount val="2"/>
                <c:pt idx="0">
                  <c:v>2022</c:v>
                </c:pt>
                <c:pt idx="1">
                  <c:v>2021</c:v>
                </c:pt>
              </c:numCache>
            </c:numRef>
          </c:cat>
          <c:val>
            <c:numRef>
              <c:f>'finansovi prognozi'!$J$90:$K$90</c:f>
              <c:numCache>
                <c:formatCode>0.000</c:formatCode>
                <c:ptCount val="2"/>
                <c:pt idx="0">
                  <c:v>0.1</c:v>
                </c:pt>
                <c:pt idx="1">
                  <c:v>0.19393939393939394</c:v>
                </c:pt>
              </c:numCache>
            </c:numRef>
          </c:val>
          <c:shape val="pyramid"/>
          <c:extLst xmlns:c16r2="http://schemas.microsoft.com/office/drawing/2015/06/chart">
            <c:ext xmlns:c16="http://schemas.microsoft.com/office/drawing/2014/chart" uri="{C3380CC4-5D6E-409C-BE32-E72D297353CC}">
              <c16:uniqueId val="{00000003-D7FB-4A96-9E39-2092FEC83A57}"/>
            </c:ext>
          </c:extLst>
        </c:ser>
        <c:dLbls>
          <c:showLegendKey val="0"/>
          <c:showVal val="0"/>
          <c:showCatName val="0"/>
          <c:showSerName val="0"/>
          <c:showPercent val="0"/>
          <c:showBubbleSize val="0"/>
        </c:dLbls>
        <c:gapWidth val="150"/>
        <c:shape val="box"/>
        <c:axId val="569707008"/>
        <c:axId val="608695936"/>
        <c:axId val="0"/>
      </c:bar3DChart>
      <c:catAx>
        <c:axId val="569707008"/>
        <c:scaling>
          <c:orientation val="minMax"/>
        </c:scaling>
        <c:delete val="0"/>
        <c:axPos val="b"/>
        <c:numFmt formatCode="General" sourceLinked="1"/>
        <c:majorTickMark val="none"/>
        <c:minorTickMark val="none"/>
        <c:tickLblPos val="low"/>
        <c:txPr>
          <a:bodyPr rot="0" vert="horz"/>
          <a:lstStyle/>
          <a:p>
            <a:pPr>
              <a:defRPr sz="1000" b="0" i="0" u="none" strike="noStrike" baseline="0">
                <a:solidFill>
                  <a:srgbClr val="000000"/>
                </a:solidFill>
                <a:latin typeface="Calibri"/>
                <a:ea typeface="Calibri"/>
                <a:cs typeface="Calibri"/>
              </a:defRPr>
            </a:pPr>
            <a:endParaRPr lang="bg-BG"/>
          </a:p>
        </c:txPr>
        <c:crossAx val="608695936"/>
        <c:crosses val="autoZero"/>
        <c:auto val="1"/>
        <c:lblAlgn val="ctr"/>
        <c:lblOffset val="100"/>
        <c:tickLblSkip val="1"/>
        <c:tickMarkSkip val="1"/>
        <c:noMultiLvlLbl val="0"/>
      </c:catAx>
      <c:valAx>
        <c:axId val="608695936"/>
        <c:scaling>
          <c:orientation val="minMax"/>
        </c:scaling>
        <c:delete val="0"/>
        <c:axPos val="l"/>
        <c:majorGridlines/>
        <c:numFmt formatCode="0.00" sourceLinked="0"/>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bg-BG"/>
          </a:p>
        </c:txPr>
        <c:crossAx val="569707008"/>
        <c:crosses val="autoZero"/>
        <c:crossBetween val="between"/>
      </c:valAx>
      <c:spPr>
        <a:noFill/>
        <a:ln w="25400">
          <a:noFill/>
        </a:ln>
      </c:spPr>
    </c:plotArea>
    <c:legend>
      <c:legendPos val="r"/>
      <c:layout>
        <c:manualLayout>
          <c:xMode val="edge"/>
          <c:yMode val="edge"/>
          <c:x val="0.64743689224384671"/>
          <c:y val="0.30790509361802837"/>
          <c:w val="0.33131747067877604"/>
          <c:h val="0.49475348376230199"/>
        </c:manualLayout>
      </c:layout>
      <c:overlay val="0"/>
      <c:txPr>
        <a:bodyPr/>
        <a:lstStyle/>
        <a:p>
          <a:pPr>
            <a:defRPr sz="920" b="0" i="0" u="none" strike="noStrike" baseline="0">
              <a:solidFill>
                <a:srgbClr val="000000"/>
              </a:solidFill>
              <a:latin typeface="Calibri"/>
              <a:ea typeface="Calibri"/>
              <a:cs typeface="Calibri"/>
            </a:defRPr>
          </a:pPr>
          <a:endParaRPr lang="bg-BG"/>
        </a:p>
      </c:txPr>
    </c:legend>
    <c:plotVisOnly val="1"/>
    <c:dispBlanksAs val="gap"/>
    <c:showDLblsOverMax val="0"/>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chemeClr val="accent6">
          <a:lumMod val="75000"/>
        </a:schemeClr>
      </a:solidFill>
    </a:ln>
    <a:effectLst>
      <a:outerShdw blurRad="50800" dist="38100" dir="5400000" algn="t" rotWithShape="0">
        <a:schemeClr val="accent6">
          <a:lumMod val="20000"/>
          <a:lumOff val="80000"/>
          <a:alpha val="40000"/>
        </a:schemeClr>
      </a:outerShdw>
    </a:effectLst>
  </c:spPr>
  <c:txPr>
    <a:bodyPr/>
    <a:lstStyle/>
    <a:p>
      <a:pPr>
        <a:defRPr sz="1000" b="0" i="0" u="none" strike="noStrike" baseline="0">
          <a:solidFill>
            <a:srgbClr val="000000"/>
          </a:solidFill>
          <a:latin typeface="Calibri"/>
          <a:ea typeface="Calibri"/>
          <a:cs typeface="Calibri"/>
        </a:defRPr>
      </a:pPr>
      <a:endParaRPr lang="bg-BG"/>
    </a:p>
  </c:txPr>
  <c:externalData r:id="rId1">
    <c:autoUpdate val="0"/>
  </c:externalData>
</c:chartSpace>
</file>

<file path=word/charts/chart2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29"/>
    </mc:Choice>
    <mc:Fallback>
      <c:style val="29"/>
    </mc:Fallback>
  </mc:AlternateContent>
  <c:chart>
    <c:title>
      <c:tx>
        <c:rich>
          <a:bodyPr/>
          <a:lstStyle/>
          <a:p>
            <a:pPr>
              <a:defRPr sz="1050" b="1" i="0" u="none" strike="noStrike" baseline="0">
                <a:solidFill>
                  <a:srgbClr val="000000"/>
                </a:solidFill>
                <a:latin typeface="Calibri"/>
                <a:ea typeface="Calibri"/>
                <a:cs typeface="Calibri"/>
              </a:defRPr>
            </a:pPr>
            <a:r>
              <a:rPr lang="bg-BG"/>
              <a:t>Ликвидност</a:t>
            </a:r>
          </a:p>
        </c:rich>
      </c:tx>
      <c:overlay val="0"/>
    </c:title>
    <c:autoTitleDeleted val="0"/>
    <c:view3D>
      <c:rotX val="15"/>
      <c:hPercent val="83"/>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'finansovi prognozi'!$I$137</c:f>
              <c:strCache>
                <c:ptCount val="1"/>
                <c:pt idx="0">
                  <c:v>Коеф. на обща ликвидност (10/11)</c:v>
                </c:pt>
              </c:strCache>
            </c:strRef>
          </c:tx>
          <c:spPr>
            <a:solidFill>
              <a:schemeClr val="accent6">
                <a:lumMod val="50000"/>
              </a:schemeClr>
            </a:solidFill>
          </c:spPr>
          <c:invertIfNegative val="0"/>
          <c:cat>
            <c:numRef>
              <c:f>'finansovi prognozi'!$J$136:$K$136</c:f>
              <c:numCache>
                <c:formatCode>General</c:formatCode>
                <c:ptCount val="2"/>
                <c:pt idx="0">
                  <c:v>2022</c:v>
                </c:pt>
                <c:pt idx="1">
                  <c:v>2021</c:v>
                </c:pt>
              </c:numCache>
            </c:numRef>
          </c:cat>
          <c:val>
            <c:numRef>
              <c:f>'finansovi prognozi'!$J$137:$K$137</c:f>
              <c:numCache>
                <c:formatCode>0.000</c:formatCode>
                <c:ptCount val="2"/>
                <c:pt idx="0">
                  <c:v>1.72</c:v>
                </c:pt>
                <c:pt idx="1">
                  <c:v>1.909502262443439</c:v>
                </c:pt>
              </c:numCache>
            </c:numRef>
          </c:val>
          <c:shape val="pyramid"/>
          <c:extLst xmlns:c16r2="http://schemas.microsoft.com/office/drawing/2015/06/chart">
            <c:ext xmlns:c16="http://schemas.microsoft.com/office/drawing/2014/chart" uri="{C3380CC4-5D6E-409C-BE32-E72D297353CC}">
              <c16:uniqueId val="{00000000-8956-4FBF-B3ED-104F1381638B}"/>
            </c:ext>
          </c:extLst>
        </c:ser>
        <c:ser>
          <c:idx val="1"/>
          <c:order val="1"/>
          <c:tx>
            <c:strRef>
              <c:f>'finansovi prognozi'!$I$138</c:f>
              <c:strCache>
                <c:ptCount val="1"/>
                <c:pt idx="0">
                  <c:v>Коеф. на бърза ликвидност  (12+13+14)/11</c:v>
                </c:pt>
              </c:strCache>
            </c:strRef>
          </c:tx>
          <c:spPr>
            <a:solidFill>
              <a:schemeClr val="accent6">
                <a:lumMod val="75000"/>
              </a:schemeClr>
            </a:solidFill>
          </c:spPr>
          <c:invertIfNegative val="0"/>
          <c:cat>
            <c:numRef>
              <c:f>'finansovi prognozi'!$J$136:$K$136</c:f>
              <c:numCache>
                <c:formatCode>General</c:formatCode>
                <c:ptCount val="2"/>
                <c:pt idx="0">
                  <c:v>2022</c:v>
                </c:pt>
                <c:pt idx="1">
                  <c:v>2021</c:v>
                </c:pt>
              </c:numCache>
            </c:numRef>
          </c:cat>
          <c:val>
            <c:numRef>
              <c:f>'finansovi prognozi'!$J$138:$K$138</c:f>
              <c:numCache>
                <c:formatCode>0.000</c:formatCode>
                <c:ptCount val="2"/>
                <c:pt idx="0">
                  <c:v>1.76</c:v>
                </c:pt>
                <c:pt idx="1">
                  <c:v>1.83710407239819</c:v>
                </c:pt>
              </c:numCache>
            </c:numRef>
          </c:val>
          <c:shape val="pyramid"/>
          <c:extLst xmlns:c16r2="http://schemas.microsoft.com/office/drawing/2015/06/chart">
            <c:ext xmlns:c16="http://schemas.microsoft.com/office/drawing/2014/chart" uri="{C3380CC4-5D6E-409C-BE32-E72D297353CC}">
              <c16:uniqueId val="{00000001-8956-4FBF-B3ED-104F1381638B}"/>
            </c:ext>
          </c:extLst>
        </c:ser>
        <c:ser>
          <c:idx val="2"/>
          <c:order val="2"/>
          <c:tx>
            <c:strRef>
              <c:f>'finansovi prognozi'!$I$139</c:f>
              <c:strCache>
                <c:ptCount val="1"/>
                <c:pt idx="0">
                  <c:v>Коеф. на незабавна ликвидност (13+14)/11</c:v>
                </c:pt>
              </c:strCache>
            </c:strRef>
          </c:tx>
          <c:spPr>
            <a:solidFill>
              <a:schemeClr val="accent6">
                <a:lumMod val="60000"/>
                <a:lumOff val="40000"/>
              </a:schemeClr>
            </a:solidFill>
          </c:spPr>
          <c:invertIfNegative val="0"/>
          <c:cat>
            <c:numRef>
              <c:f>'finansovi prognozi'!$J$136:$K$136</c:f>
              <c:numCache>
                <c:formatCode>General</c:formatCode>
                <c:ptCount val="2"/>
                <c:pt idx="0">
                  <c:v>2022</c:v>
                </c:pt>
                <c:pt idx="1">
                  <c:v>2021</c:v>
                </c:pt>
              </c:numCache>
            </c:numRef>
          </c:cat>
          <c:val>
            <c:numRef>
              <c:f>'finansovi prognozi'!$J$139:$K$139</c:f>
              <c:numCache>
                <c:formatCode>0.000</c:formatCode>
                <c:ptCount val="2"/>
                <c:pt idx="0">
                  <c:v>1.1200000000000001</c:v>
                </c:pt>
                <c:pt idx="1">
                  <c:v>1.1266968325791855</c:v>
                </c:pt>
              </c:numCache>
            </c:numRef>
          </c:val>
          <c:shape val="pyramid"/>
          <c:extLst xmlns:c16r2="http://schemas.microsoft.com/office/drawing/2015/06/chart">
            <c:ext xmlns:c16="http://schemas.microsoft.com/office/drawing/2014/chart" uri="{C3380CC4-5D6E-409C-BE32-E72D297353CC}">
              <c16:uniqueId val="{00000002-8956-4FBF-B3ED-104F1381638B}"/>
            </c:ext>
          </c:extLst>
        </c:ser>
        <c:ser>
          <c:idx val="3"/>
          <c:order val="3"/>
          <c:tx>
            <c:strRef>
              <c:f>'finansovi prognozi'!$I$140</c:f>
              <c:strCache>
                <c:ptCount val="1"/>
                <c:pt idx="0">
                  <c:v>Коеф. на абсолютна ликвидност (14/11)</c:v>
                </c:pt>
              </c:strCache>
            </c:strRef>
          </c:tx>
          <c:spPr>
            <a:solidFill>
              <a:schemeClr val="accent6">
                <a:lumMod val="40000"/>
                <a:lumOff val="60000"/>
              </a:schemeClr>
            </a:solidFill>
          </c:spPr>
          <c:invertIfNegative val="0"/>
          <c:cat>
            <c:numRef>
              <c:f>'finansovi prognozi'!$J$136:$K$136</c:f>
              <c:numCache>
                <c:formatCode>General</c:formatCode>
                <c:ptCount val="2"/>
                <c:pt idx="0">
                  <c:v>2022</c:v>
                </c:pt>
                <c:pt idx="1">
                  <c:v>2021</c:v>
                </c:pt>
              </c:numCache>
            </c:numRef>
          </c:cat>
          <c:val>
            <c:numRef>
              <c:f>'finansovi prognozi'!$J$140:$K$140</c:f>
              <c:numCache>
                <c:formatCode>0.000</c:formatCode>
                <c:ptCount val="2"/>
                <c:pt idx="0">
                  <c:v>1.1200000000000001</c:v>
                </c:pt>
                <c:pt idx="1">
                  <c:v>1.1266968325791855</c:v>
                </c:pt>
              </c:numCache>
            </c:numRef>
          </c:val>
          <c:shape val="pyramid"/>
          <c:extLst xmlns:c16r2="http://schemas.microsoft.com/office/drawing/2015/06/chart">
            <c:ext xmlns:c16="http://schemas.microsoft.com/office/drawing/2014/chart" uri="{C3380CC4-5D6E-409C-BE32-E72D297353CC}">
              <c16:uniqueId val="{00000003-8956-4FBF-B3ED-104F1381638B}"/>
            </c:ext>
          </c:extLst>
        </c:ser>
        <c:dLbls>
          <c:showLegendKey val="0"/>
          <c:showVal val="0"/>
          <c:showCatName val="0"/>
          <c:showSerName val="0"/>
          <c:showPercent val="0"/>
          <c:showBubbleSize val="0"/>
        </c:dLbls>
        <c:gapWidth val="150"/>
        <c:shape val="box"/>
        <c:axId val="557358592"/>
        <c:axId val="615792640"/>
        <c:axId val="0"/>
      </c:bar3DChart>
      <c:catAx>
        <c:axId val="557358592"/>
        <c:scaling>
          <c:orientation val="minMax"/>
        </c:scaling>
        <c:delete val="0"/>
        <c:axPos val="b"/>
        <c:numFmt formatCode="General" sourceLinked="1"/>
        <c:majorTickMark val="none"/>
        <c:minorTickMark val="none"/>
        <c:tickLblPos val="low"/>
        <c:txPr>
          <a:bodyPr rot="0" vert="horz"/>
          <a:lstStyle/>
          <a:p>
            <a:pPr>
              <a:defRPr sz="1000" b="0" i="0" u="none" strike="noStrike" baseline="0">
                <a:solidFill>
                  <a:srgbClr val="000000"/>
                </a:solidFill>
                <a:latin typeface="Calibri"/>
                <a:ea typeface="Calibri"/>
                <a:cs typeface="Calibri"/>
              </a:defRPr>
            </a:pPr>
            <a:endParaRPr lang="bg-BG"/>
          </a:p>
        </c:txPr>
        <c:crossAx val="615792640"/>
        <c:crosses val="autoZero"/>
        <c:auto val="1"/>
        <c:lblAlgn val="ctr"/>
        <c:lblOffset val="100"/>
        <c:tickLblSkip val="1"/>
        <c:tickMarkSkip val="1"/>
        <c:noMultiLvlLbl val="0"/>
      </c:catAx>
      <c:valAx>
        <c:axId val="615792640"/>
        <c:scaling>
          <c:orientation val="minMax"/>
        </c:scaling>
        <c:delete val="0"/>
        <c:axPos val="l"/>
        <c:majorGridlines/>
        <c:numFmt formatCode="0.00" sourceLinked="0"/>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bg-BG"/>
          </a:p>
        </c:txPr>
        <c:crossAx val="557358592"/>
        <c:crosses val="autoZero"/>
        <c:crossBetween val="between"/>
      </c:valAx>
      <c:spPr>
        <a:noFill/>
        <a:ln w="25400">
          <a:noFill/>
        </a:ln>
      </c:spPr>
    </c:plotArea>
    <c:legend>
      <c:legendPos val="r"/>
      <c:layout>
        <c:manualLayout>
          <c:xMode val="edge"/>
          <c:yMode val="edge"/>
          <c:x val="0.66719435609166355"/>
          <c:y val="0.31671829662562528"/>
          <c:w val="0.30852039700821804"/>
          <c:h val="0.46884283280013817"/>
        </c:manualLayout>
      </c:layout>
      <c:overlay val="0"/>
      <c:txPr>
        <a:bodyPr/>
        <a:lstStyle/>
        <a:p>
          <a:pPr>
            <a:defRPr sz="920" b="0" i="0" u="none" strike="noStrike" baseline="0">
              <a:solidFill>
                <a:srgbClr val="000000"/>
              </a:solidFill>
              <a:latin typeface="Calibri"/>
              <a:ea typeface="Calibri"/>
              <a:cs typeface="Calibri"/>
            </a:defRPr>
          </a:pPr>
          <a:endParaRPr lang="bg-BG"/>
        </a:p>
      </c:txPr>
    </c:legend>
    <c:plotVisOnly val="1"/>
    <c:dispBlanksAs val="gap"/>
    <c:showDLblsOverMax val="0"/>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chemeClr val="accent6">
          <a:lumMod val="75000"/>
        </a:schemeClr>
      </a:solidFill>
    </a:ln>
    <a:effectLst>
      <a:outerShdw blurRad="50800" dist="38100" dir="5400000" algn="t" rotWithShape="0">
        <a:schemeClr val="accent6">
          <a:lumMod val="20000"/>
          <a:lumOff val="80000"/>
          <a:alpha val="40000"/>
        </a:schemeClr>
      </a:outerShdw>
    </a:effectLst>
  </c:spPr>
  <c:txPr>
    <a:bodyPr/>
    <a:lstStyle/>
    <a:p>
      <a:pPr>
        <a:defRPr sz="1000" b="0" i="0" u="none" strike="noStrike" baseline="0">
          <a:solidFill>
            <a:srgbClr val="000000"/>
          </a:solidFill>
          <a:latin typeface="Calibri"/>
          <a:ea typeface="Calibri"/>
          <a:cs typeface="Calibri"/>
        </a:defRPr>
      </a:pPr>
      <a:endParaRPr lang="bg-BG"/>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32"/>
    </mc:Choice>
    <mc:Fallback>
      <c:style val="32"/>
    </mc:Fallback>
  </mc:AlternateContent>
  <c:chart>
    <c:title>
      <c:tx>
        <c:rich>
          <a:bodyPr/>
          <a:lstStyle/>
          <a:p>
            <a:pPr>
              <a:defRPr sz="1050" b="1" i="0" u="none" strike="noStrike" baseline="0">
                <a:solidFill>
                  <a:srgbClr val="000000"/>
                </a:solidFill>
                <a:latin typeface="Calibri"/>
                <a:ea typeface="Calibri"/>
                <a:cs typeface="Calibri"/>
              </a:defRPr>
            </a:pPr>
            <a:r>
              <a:rPr lang="bg-BG"/>
              <a:t>Реализирани приходи от продажби на външни и вътрешни пазари</a:t>
            </a:r>
          </a:p>
        </c:rich>
      </c:tx>
      <c:overlay val="0"/>
    </c:title>
    <c:autoTitleDeleted val="0"/>
    <c:view3D>
      <c:rotX val="15"/>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'harakteristika na deynostta'!$B$37:$B$38</c:f>
              <c:strCache>
                <c:ptCount val="2"/>
                <c:pt idx="0">
                  <c:v>2021</c:v>
                </c:pt>
                <c:pt idx="1">
                  <c:v>външни пазари</c:v>
                </c:pt>
              </c:strCache>
            </c:strRef>
          </c:tx>
          <c:invertIfNegative val="0"/>
          <c:cat>
            <c:strRef>
              <c:f>'harakteristika na deynostta'!$A$39:$A$41</c:f>
              <c:strCache>
                <c:ptCount val="2"/>
                <c:pt idx="0">
                  <c:v>Приходи от медицински услуги </c:v>
                </c:pt>
                <c:pt idx="1">
                  <c:v>Наеми </c:v>
                </c:pt>
              </c:strCache>
            </c:strRef>
          </c:cat>
          <c:val>
            <c:numRef>
              <c:f>'harakteristika na deynostta'!$B$39:$B$41</c:f>
              <c:numCache>
                <c:formatCode>General</c:formatCode>
                <c:ptCount val="3"/>
                <c:pt idx="0" formatCode="0">
                  <c:v>0</c:v>
                </c:pt>
                <c:pt idx="1">
                  <c:v>0</c:v>
                </c:pt>
              </c:numCache>
            </c:numRef>
          </c:val>
          <c:extLst xmlns:c16r2="http://schemas.microsoft.com/office/drawing/2015/06/chart">
            <c:ext xmlns:c16="http://schemas.microsoft.com/office/drawing/2014/chart" uri="{C3380CC4-5D6E-409C-BE32-E72D297353CC}">
              <c16:uniqueId val="{00000000-0BC2-43D4-8771-FC334FF627E6}"/>
            </c:ext>
          </c:extLst>
        </c:ser>
        <c:ser>
          <c:idx val="1"/>
          <c:order val="1"/>
          <c:tx>
            <c:strRef>
              <c:f>'harakteristika na deynostta'!$C$37:$C$38</c:f>
              <c:strCache>
                <c:ptCount val="2"/>
                <c:pt idx="0">
                  <c:v>2021</c:v>
                </c:pt>
                <c:pt idx="1">
                  <c:v>вътрешни пазари</c:v>
                </c:pt>
              </c:strCache>
            </c:strRef>
          </c:tx>
          <c:invertIfNegative val="0"/>
          <c:cat>
            <c:strRef>
              <c:f>'harakteristika na deynostta'!$A$39:$A$41</c:f>
              <c:strCache>
                <c:ptCount val="2"/>
                <c:pt idx="0">
                  <c:v>Приходи от медицински услуги </c:v>
                </c:pt>
                <c:pt idx="1">
                  <c:v>Наеми </c:v>
                </c:pt>
              </c:strCache>
            </c:strRef>
          </c:cat>
          <c:val>
            <c:numRef>
              <c:f>'harakteristika na deynostta'!$C$39:$C$41</c:f>
              <c:numCache>
                <c:formatCode>General</c:formatCode>
                <c:ptCount val="3"/>
                <c:pt idx="0">
                  <c:v>2153</c:v>
                </c:pt>
                <c:pt idx="1">
                  <c:v>80</c:v>
                </c:pt>
              </c:numCache>
            </c:numRef>
          </c:val>
          <c:extLst xmlns:c16r2="http://schemas.microsoft.com/office/drawing/2015/06/chart">
            <c:ext xmlns:c16="http://schemas.microsoft.com/office/drawing/2014/chart" uri="{C3380CC4-5D6E-409C-BE32-E72D297353CC}">
              <c16:uniqueId val="{00000001-0BC2-43D4-8771-FC334FF627E6}"/>
            </c:ext>
          </c:extLst>
        </c:ser>
        <c:ser>
          <c:idx val="2"/>
          <c:order val="2"/>
          <c:tx>
            <c:strRef>
              <c:f>'harakteristika na deynostta'!$D$37:$D$38</c:f>
              <c:strCache>
                <c:ptCount val="2"/>
                <c:pt idx="0">
                  <c:v>2020</c:v>
                </c:pt>
                <c:pt idx="1">
                  <c:v>външни пазари</c:v>
                </c:pt>
              </c:strCache>
            </c:strRef>
          </c:tx>
          <c:invertIfNegative val="0"/>
          <c:cat>
            <c:strRef>
              <c:f>'harakteristika na deynostta'!$A$39:$A$41</c:f>
              <c:strCache>
                <c:ptCount val="2"/>
                <c:pt idx="0">
                  <c:v>Приходи от медицински услуги </c:v>
                </c:pt>
                <c:pt idx="1">
                  <c:v>Наеми </c:v>
                </c:pt>
              </c:strCache>
            </c:strRef>
          </c:cat>
          <c:val>
            <c:numRef>
              <c:f>'harakteristika na deynostta'!$D$39:$D$41</c:f>
              <c:numCache>
                <c:formatCode>General</c:formatCode>
                <c:ptCount val="3"/>
                <c:pt idx="0" formatCode="0">
                  <c:v>0</c:v>
                </c:pt>
                <c:pt idx="1">
                  <c:v>0</c:v>
                </c:pt>
              </c:numCache>
            </c:numRef>
          </c:val>
          <c:extLst xmlns:c16r2="http://schemas.microsoft.com/office/drawing/2015/06/chart">
            <c:ext xmlns:c16="http://schemas.microsoft.com/office/drawing/2014/chart" uri="{C3380CC4-5D6E-409C-BE32-E72D297353CC}">
              <c16:uniqueId val="{00000002-0BC2-43D4-8771-FC334FF627E6}"/>
            </c:ext>
          </c:extLst>
        </c:ser>
        <c:ser>
          <c:idx val="3"/>
          <c:order val="3"/>
          <c:tx>
            <c:strRef>
              <c:f>'harakteristika na deynostta'!$E$37:$E$38</c:f>
              <c:strCache>
                <c:ptCount val="2"/>
                <c:pt idx="0">
                  <c:v>2020</c:v>
                </c:pt>
                <c:pt idx="1">
                  <c:v>вътрешни пазари</c:v>
                </c:pt>
              </c:strCache>
            </c:strRef>
          </c:tx>
          <c:invertIfNegative val="0"/>
          <c:cat>
            <c:strRef>
              <c:f>'harakteristika na deynostta'!$A$39:$A$41</c:f>
              <c:strCache>
                <c:ptCount val="2"/>
                <c:pt idx="0">
                  <c:v>Приходи от медицински услуги </c:v>
                </c:pt>
                <c:pt idx="1">
                  <c:v>Наеми </c:v>
                </c:pt>
              </c:strCache>
            </c:strRef>
          </c:cat>
          <c:val>
            <c:numRef>
              <c:f>'harakteristika na deynostta'!$E$39:$E$41</c:f>
              <c:numCache>
                <c:formatCode>General</c:formatCode>
                <c:ptCount val="3"/>
                <c:pt idx="0">
                  <c:v>1733</c:v>
                </c:pt>
                <c:pt idx="1">
                  <c:v>83</c:v>
                </c:pt>
              </c:numCache>
            </c:numRef>
          </c:val>
          <c:extLst xmlns:c16r2="http://schemas.microsoft.com/office/drawing/2015/06/chart">
            <c:ext xmlns:c16="http://schemas.microsoft.com/office/drawing/2014/chart" uri="{C3380CC4-5D6E-409C-BE32-E72D297353CC}">
              <c16:uniqueId val="{00000003-0BC2-43D4-8771-FC334FF627E6}"/>
            </c:ext>
          </c:extLst>
        </c:ser>
        <c:dLbls>
          <c:showLegendKey val="0"/>
          <c:showVal val="0"/>
          <c:showCatName val="0"/>
          <c:showSerName val="0"/>
          <c:showPercent val="0"/>
          <c:showBubbleSize val="0"/>
        </c:dLbls>
        <c:gapWidth val="150"/>
        <c:shape val="cone"/>
        <c:axId val="68454400"/>
        <c:axId val="68717376"/>
        <c:axId val="0"/>
      </c:bar3DChart>
      <c:catAx>
        <c:axId val="68454400"/>
        <c:scaling>
          <c:orientation val="minMax"/>
        </c:scaling>
        <c:delete val="0"/>
        <c:axPos val="b"/>
        <c:numFmt formatCode="General" sourceLinked="1"/>
        <c:majorTickMark val="none"/>
        <c:minorTickMark val="none"/>
        <c:tickLblPos val="nextTo"/>
        <c:txPr>
          <a:bodyPr rot="-2700000" vert="horz"/>
          <a:lstStyle/>
          <a:p>
            <a:pPr>
              <a:defRPr sz="1000" b="0" i="0" u="none" strike="noStrike" baseline="0">
                <a:solidFill>
                  <a:srgbClr val="000000"/>
                </a:solidFill>
                <a:latin typeface="Calibri"/>
                <a:ea typeface="Calibri"/>
                <a:cs typeface="Calibri"/>
              </a:defRPr>
            </a:pPr>
            <a:endParaRPr lang="bg-BG"/>
          </a:p>
        </c:txPr>
        <c:crossAx val="68717376"/>
        <c:crosses val="autoZero"/>
        <c:auto val="1"/>
        <c:lblAlgn val="ctr"/>
        <c:lblOffset val="100"/>
        <c:noMultiLvlLbl val="0"/>
      </c:catAx>
      <c:valAx>
        <c:axId val="68717376"/>
        <c:scaling>
          <c:orientation val="minMax"/>
        </c:scaling>
        <c:delete val="0"/>
        <c:axPos val="l"/>
        <c:majorGridlines/>
        <c:numFmt formatCode="0" sourceLinked="1"/>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bg-BG"/>
          </a:p>
        </c:txPr>
        <c:crossAx val="68454400"/>
        <c:crosses val="autoZero"/>
        <c:crossBetween val="between"/>
      </c:valAx>
      <c:spPr>
        <a:noFill/>
        <a:ln w="25400">
          <a:noFill/>
        </a:ln>
      </c:spPr>
    </c:plotArea>
    <c:legend>
      <c:legendPos val="r"/>
      <c:layout>
        <c:manualLayout>
          <c:xMode val="edge"/>
          <c:yMode val="edge"/>
          <c:x val="0.73079323776071237"/>
          <c:y val="0.42885946392234436"/>
          <c:w val="0.24929593880726056"/>
          <c:h val="0.21923757348496525"/>
        </c:manualLayout>
      </c:layout>
      <c:overlay val="0"/>
      <c:txPr>
        <a:bodyPr/>
        <a:lstStyle/>
        <a:p>
          <a:pPr>
            <a:defRPr sz="920" b="0" i="0" u="none" strike="noStrike" baseline="0">
              <a:solidFill>
                <a:srgbClr val="000000"/>
              </a:solidFill>
              <a:latin typeface="Calibri"/>
              <a:ea typeface="Calibri"/>
              <a:cs typeface="Calibri"/>
            </a:defRPr>
          </a:pPr>
          <a:endParaRPr lang="bg-BG"/>
        </a:p>
      </c:txPr>
    </c:legend>
    <c:plotVisOnly val="1"/>
    <c:dispBlanksAs val="gap"/>
    <c:showDLblsOverMax val="0"/>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chemeClr val="accent6">
          <a:lumMod val="75000"/>
        </a:schemeClr>
      </a:solidFill>
    </a:ln>
    <a:effectLst>
      <a:outerShdw blurRad="50800" dist="50800" dir="5400000" algn="ctr" rotWithShape="0">
        <a:schemeClr val="accent6">
          <a:lumMod val="20000"/>
          <a:lumOff val="80000"/>
        </a:schemeClr>
      </a:outerShdw>
    </a:effectLst>
  </c:spPr>
  <c:txPr>
    <a:bodyPr/>
    <a:lstStyle/>
    <a:p>
      <a:pPr>
        <a:defRPr sz="1000" b="0" i="0" u="none" strike="noStrike" baseline="0">
          <a:solidFill>
            <a:srgbClr val="000000"/>
          </a:solidFill>
          <a:latin typeface="Calibri"/>
          <a:ea typeface="Calibri"/>
          <a:cs typeface="Calibri"/>
        </a:defRPr>
      </a:pPr>
      <a:endParaRPr lang="bg-BG"/>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13"/>
    </mc:Choice>
    <mc:Fallback>
      <c:style val="13"/>
    </mc:Fallback>
  </mc:AlternateContent>
  <c:chart>
    <c:title>
      <c:tx>
        <c:rich>
          <a:bodyPr/>
          <a:lstStyle/>
          <a:p>
            <a:pPr>
              <a:defRPr sz="1050" b="1" i="0" u="none" strike="noStrike" baseline="0">
                <a:solidFill>
                  <a:srgbClr val="000000"/>
                </a:solidFill>
                <a:latin typeface="Calibri"/>
                <a:ea typeface="Calibri"/>
                <a:cs typeface="Calibri"/>
              </a:defRPr>
            </a:pPr>
            <a:r>
              <a:rPr lang="bg-BG"/>
              <a:t>Приходи и разходи от оперативна дейност</a:t>
            </a:r>
          </a:p>
        </c:rich>
      </c:tx>
      <c:layout>
        <c:manualLayout>
          <c:xMode val="edge"/>
          <c:yMode val="edge"/>
          <c:x val="0.25427007670552809"/>
          <c:y val="0.10774410774410774"/>
        </c:manualLayout>
      </c:layout>
      <c:overlay val="0"/>
    </c:title>
    <c:autoTitleDeleted val="0"/>
    <c:view3D>
      <c:rotX val="10"/>
      <c:hPercent val="84"/>
      <c:rotY val="15"/>
      <c:depthPercent val="100"/>
      <c:rAngAx val="1"/>
    </c:view3D>
    <c:floor>
      <c:thickness val="0"/>
    </c:floor>
    <c:sideWall>
      <c:thickness val="0"/>
    </c:sideWall>
    <c:backWall>
      <c:thickness val="0"/>
    </c:backWall>
    <c:plotArea>
      <c:layout/>
      <c:bar3DChart>
        <c:barDir val="col"/>
        <c:grouping val="clustered"/>
        <c:varyColors val="0"/>
        <c:ser>
          <c:idx val="0"/>
          <c:order val="0"/>
          <c:tx>
            <c:strRef>
              <c:f>'finansovi pokazateli'!$I$14</c:f>
              <c:strCache>
                <c:ptCount val="1"/>
                <c:pt idx="0">
                  <c:v>Общо приходи от оперативна дейност</c:v>
                </c:pt>
              </c:strCache>
            </c:strRef>
          </c:tx>
          <c:spPr>
            <a:solidFill>
              <a:schemeClr val="accent6">
                <a:lumMod val="50000"/>
              </a:schemeClr>
            </a:solidFill>
          </c:spPr>
          <c:invertIfNegative val="0"/>
          <c:cat>
            <c:numRef>
              <c:f>'finansovi pokazateli'!$J$13:$K$13</c:f>
              <c:numCache>
                <c:formatCode>General</c:formatCode>
                <c:ptCount val="2"/>
                <c:pt idx="0">
                  <c:v>2021</c:v>
                </c:pt>
                <c:pt idx="1">
                  <c:v>2020</c:v>
                </c:pt>
              </c:numCache>
            </c:numRef>
          </c:cat>
          <c:val>
            <c:numRef>
              <c:f>'finansovi pokazateli'!$J$14:$K$14</c:f>
              <c:numCache>
                <c:formatCode>0</c:formatCode>
                <c:ptCount val="2"/>
                <c:pt idx="0">
                  <c:v>2292</c:v>
                </c:pt>
                <c:pt idx="1">
                  <c:v>1880</c:v>
                </c:pt>
              </c:numCache>
            </c:numRef>
          </c:val>
          <c:shape val="pyramid"/>
          <c:extLst xmlns:c16r2="http://schemas.microsoft.com/office/drawing/2015/06/chart">
            <c:ext xmlns:c16="http://schemas.microsoft.com/office/drawing/2014/chart" uri="{C3380CC4-5D6E-409C-BE32-E72D297353CC}">
              <c16:uniqueId val="{00000000-F88C-44D1-B9A9-5A5AF3B15397}"/>
            </c:ext>
          </c:extLst>
        </c:ser>
        <c:ser>
          <c:idx val="1"/>
          <c:order val="1"/>
          <c:tx>
            <c:strRef>
              <c:f>'finansovi pokazateli'!$I$15</c:f>
              <c:strCache>
                <c:ptCount val="1"/>
                <c:pt idx="0">
                  <c:v>Общо разходи за оперативна дейност</c:v>
                </c:pt>
              </c:strCache>
            </c:strRef>
          </c:tx>
          <c:spPr>
            <a:solidFill>
              <a:schemeClr val="accent6">
                <a:lumMod val="75000"/>
              </a:schemeClr>
            </a:solidFill>
          </c:spPr>
          <c:invertIfNegative val="0"/>
          <c:cat>
            <c:numRef>
              <c:f>'finansovi pokazateli'!$J$13:$K$13</c:f>
              <c:numCache>
                <c:formatCode>General</c:formatCode>
                <c:ptCount val="2"/>
                <c:pt idx="0">
                  <c:v>2021</c:v>
                </c:pt>
                <c:pt idx="1">
                  <c:v>2020</c:v>
                </c:pt>
              </c:numCache>
            </c:numRef>
          </c:cat>
          <c:val>
            <c:numRef>
              <c:f>'finansovi pokazateli'!$J$15:$K$15</c:f>
              <c:numCache>
                <c:formatCode>0</c:formatCode>
                <c:ptCount val="2"/>
                <c:pt idx="0">
                  <c:v>2037</c:v>
                </c:pt>
                <c:pt idx="1">
                  <c:v>1750</c:v>
                </c:pt>
              </c:numCache>
            </c:numRef>
          </c:val>
          <c:shape val="pyramid"/>
          <c:extLst xmlns:c16r2="http://schemas.microsoft.com/office/drawing/2015/06/chart">
            <c:ext xmlns:c16="http://schemas.microsoft.com/office/drawing/2014/chart" uri="{C3380CC4-5D6E-409C-BE32-E72D297353CC}">
              <c16:uniqueId val="{00000001-F88C-44D1-B9A9-5A5AF3B15397}"/>
            </c:ext>
          </c:extLst>
        </c:ser>
        <c:dLbls>
          <c:showLegendKey val="0"/>
          <c:showVal val="0"/>
          <c:showCatName val="0"/>
          <c:showSerName val="0"/>
          <c:showPercent val="0"/>
          <c:showBubbleSize val="0"/>
        </c:dLbls>
        <c:gapWidth val="150"/>
        <c:shape val="box"/>
        <c:axId val="68472832"/>
        <c:axId val="68721408"/>
        <c:axId val="0"/>
      </c:bar3DChart>
      <c:catAx>
        <c:axId val="68472832"/>
        <c:scaling>
          <c:orientation val="minMax"/>
        </c:scaling>
        <c:delete val="0"/>
        <c:axPos val="b"/>
        <c:numFmt formatCode="General" sourceLinked="1"/>
        <c:majorTickMark val="none"/>
        <c:minorTickMark val="none"/>
        <c:tickLblPos val="low"/>
        <c:txPr>
          <a:bodyPr rot="0" vert="horz"/>
          <a:lstStyle/>
          <a:p>
            <a:pPr>
              <a:defRPr sz="1050" b="0" i="0" u="none" strike="noStrike" baseline="0">
                <a:solidFill>
                  <a:srgbClr val="000000"/>
                </a:solidFill>
                <a:latin typeface="Calibri"/>
                <a:ea typeface="Calibri"/>
                <a:cs typeface="Calibri"/>
              </a:defRPr>
            </a:pPr>
            <a:endParaRPr lang="bg-BG"/>
          </a:p>
        </c:txPr>
        <c:crossAx val="68721408"/>
        <c:crosses val="autoZero"/>
        <c:auto val="1"/>
        <c:lblAlgn val="ctr"/>
        <c:lblOffset val="100"/>
        <c:tickLblSkip val="1"/>
        <c:tickMarkSkip val="1"/>
        <c:noMultiLvlLbl val="0"/>
      </c:catAx>
      <c:valAx>
        <c:axId val="68721408"/>
        <c:scaling>
          <c:orientation val="minMax"/>
        </c:scaling>
        <c:delete val="0"/>
        <c:axPos val="l"/>
        <c:majorGridlines/>
        <c:numFmt formatCode="0.00" sourceLinked="0"/>
        <c:majorTickMark val="none"/>
        <c:minorTickMark val="none"/>
        <c:tickLblPos val="nextTo"/>
        <c:txPr>
          <a:bodyPr rot="0" vert="horz"/>
          <a:lstStyle/>
          <a:p>
            <a:pPr>
              <a:defRPr sz="1050" b="0" i="0" u="none" strike="noStrike" baseline="0">
                <a:solidFill>
                  <a:srgbClr val="000000"/>
                </a:solidFill>
                <a:latin typeface="Calibri"/>
                <a:ea typeface="Calibri"/>
                <a:cs typeface="Calibri"/>
              </a:defRPr>
            </a:pPr>
            <a:endParaRPr lang="bg-BG"/>
          </a:p>
        </c:txPr>
        <c:crossAx val="68472832"/>
        <c:crosses val="autoZero"/>
        <c:crossBetween val="between"/>
      </c:valAx>
      <c:spPr>
        <a:noFill/>
        <a:ln w="25400">
          <a:noFill/>
        </a:ln>
      </c:spPr>
    </c:plotArea>
    <c:legend>
      <c:legendPos val="r"/>
      <c:layout>
        <c:manualLayout>
          <c:xMode val="edge"/>
          <c:yMode val="edge"/>
          <c:x val="0.6455702737176765"/>
          <c:y val="0.43368699707681274"/>
          <c:w val="0.33183518742497392"/>
          <c:h val="0.23980339838364936"/>
        </c:manualLayout>
      </c:layout>
      <c:overlay val="0"/>
      <c:txPr>
        <a:bodyPr/>
        <a:lstStyle/>
        <a:p>
          <a:pPr>
            <a:defRPr sz="920" b="0" i="0" u="none" strike="noStrike" baseline="0">
              <a:solidFill>
                <a:srgbClr val="000000"/>
              </a:solidFill>
              <a:latin typeface="Calibri"/>
              <a:ea typeface="Calibri"/>
              <a:cs typeface="Calibri"/>
            </a:defRPr>
          </a:pPr>
          <a:endParaRPr lang="bg-BG"/>
        </a:p>
      </c:txPr>
    </c:legend>
    <c:plotVisOnly val="1"/>
    <c:dispBlanksAs val="gap"/>
    <c:showDLblsOverMax val="0"/>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chemeClr val="accent6">
          <a:lumMod val="75000"/>
        </a:schemeClr>
      </a:solidFill>
    </a:ln>
    <a:effectLst>
      <a:outerShdw blurRad="50800" dist="38100" dir="5400000" algn="t" rotWithShape="0">
        <a:schemeClr val="accent6">
          <a:lumMod val="20000"/>
          <a:lumOff val="80000"/>
          <a:alpha val="40000"/>
        </a:schemeClr>
      </a:outerShdw>
    </a:effectLst>
  </c:spPr>
  <c:txPr>
    <a:bodyPr/>
    <a:lstStyle/>
    <a:p>
      <a:pPr>
        <a:defRPr sz="1050" b="0" i="0" u="none" strike="noStrike" baseline="0">
          <a:solidFill>
            <a:srgbClr val="000000"/>
          </a:solidFill>
          <a:latin typeface="Calibri"/>
          <a:ea typeface="Calibri"/>
          <a:cs typeface="Calibri"/>
        </a:defRPr>
      </a:pPr>
      <a:endParaRPr lang="bg-BG"/>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05"/>
    </mc:Choice>
    <mc:Fallback>
      <c:style val="5"/>
    </mc:Fallback>
  </mc:AlternateContent>
  <c:chart>
    <c:title>
      <c:tx>
        <c:rich>
          <a:bodyPr/>
          <a:lstStyle/>
          <a:p>
            <a:pPr>
              <a:defRPr sz="1050" b="1" i="0" u="none" strike="noStrike" baseline="0">
                <a:solidFill>
                  <a:srgbClr val="000000"/>
                </a:solidFill>
                <a:latin typeface="Calibri"/>
                <a:ea typeface="Calibri"/>
                <a:cs typeface="Calibri"/>
              </a:defRPr>
            </a:pPr>
            <a:r>
              <a:rPr lang="bg-BG"/>
              <a:t>Приходи, разходи и финансов резултат</a:t>
            </a:r>
          </a:p>
        </c:rich>
      </c:tx>
      <c:overlay val="0"/>
    </c:title>
    <c:autoTitleDeleted val="0"/>
    <c:view3D>
      <c:rotX val="15"/>
      <c:hPercent val="74"/>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'finansovi pokazateli'!$I$37</c:f>
              <c:strCache>
                <c:ptCount val="1"/>
                <c:pt idx="0">
                  <c:v>Общо приходи</c:v>
                </c:pt>
              </c:strCache>
            </c:strRef>
          </c:tx>
          <c:spPr>
            <a:solidFill>
              <a:schemeClr val="accent6">
                <a:lumMod val="50000"/>
              </a:schemeClr>
            </a:solidFill>
          </c:spPr>
          <c:invertIfNegative val="0"/>
          <c:cat>
            <c:numRef>
              <c:f>'finansovi pokazateli'!$J$36:$K$36</c:f>
              <c:numCache>
                <c:formatCode>General</c:formatCode>
                <c:ptCount val="2"/>
                <c:pt idx="0">
                  <c:v>2021</c:v>
                </c:pt>
                <c:pt idx="1">
                  <c:v>2020</c:v>
                </c:pt>
              </c:numCache>
            </c:numRef>
          </c:cat>
          <c:val>
            <c:numRef>
              <c:f>'finansovi pokazateli'!$J$37:$K$37</c:f>
              <c:numCache>
                <c:formatCode>0</c:formatCode>
                <c:ptCount val="2"/>
                <c:pt idx="0">
                  <c:v>2292</c:v>
                </c:pt>
                <c:pt idx="1">
                  <c:v>1880</c:v>
                </c:pt>
              </c:numCache>
            </c:numRef>
          </c:val>
          <c:shape val="pyramid"/>
          <c:extLst xmlns:c16r2="http://schemas.microsoft.com/office/drawing/2015/06/chart">
            <c:ext xmlns:c16="http://schemas.microsoft.com/office/drawing/2014/chart" uri="{C3380CC4-5D6E-409C-BE32-E72D297353CC}">
              <c16:uniqueId val="{00000000-2B1A-4F3C-884F-7752D45FDD9F}"/>
            </c:ext>
          </c:extLst>
        </c:ser>
        <c:ser>
          <c:idx val="1"/>
          <c:order val="1"/>
          <c:tx>
            <c:strRef>
              <c:f>'finansovi pokazateli'!$I$38</c:f>
              <c:strCache>
                <c:ptCount val="1"/>
                <c:pt idx="0">
                  <c:v>Общо разходи</c:v>
                </c:pt>
              </c:strCache>
            </c:strRef>
          </c:tx>
          <c:spPr>
            <a:solidFill>
              <a:schemeClr val="accent6">
                <a:lumMod val="75000"/>
              </a:schemeClr>
            </a:solidFill>
          </c:spPr>
          <c:invertIfNegative val="0"/>
          <c:cat>
            <c:numRef>
              <c:f>'finansovi pokazateli'!$J$36:$K$36</c:f>
              <c:numCache>
                <c:formatCode>General</c:formatCode>
                <c:ptCount val="2"/>
                <c:pt idx="0">
                  <c:v>2021</c:v>
                </c:pt>
                <c:pt idx="1">
                  <c:v>2020</c:v>
                </c:pt>
              </c:numCache>
            </c:numRef>
          </c:cat>
          <c:val>
            <c:numRef>
              <c:f>'finansovi pokazateli'!$J$38:$K$38</c:f>
              <c:numCache>
                <c:formatCode>0</c:formatCode>
                <c:ptCount val="2"/>
                <c:pt idx="0">
                  <c:v>2042</c:v>
                </c:pt>
                <c:pt idx="1">
                  <c:v>1760</c:v>
                </c:pt>
              </c:numCache>
            </c:numRef>
          </c:val>
          <c:shape val="pyramid"/>
          <c:extLst xmlns:c16r2="http://schemas.microsoft.com/office/drawing/2015/06/chart">
            <c:ext xmlns:c16="http://schemas.microsoft.com/office/drawing/2014/chart" uri="{C3380CC4-5D6E-409C-BE32-E72D297353CC}">
              <c16:uniqueId val="{00000001-2B1A-4F3C-884F-7752D45FDD9F}"/>
            </c:ext>
          </c:extLst>
        </c:ser>
        <c:ser>
          <c:idx val="2"/>
          <c:order val="2"/>
          <c:tx>
            <c:strRef>
              <c:f>'finansovi pokazateli'!$I$39</c:f>
              <c:strCache>
                <c:ptCount val="1"/>
                <c:pt idx="0">
                  <c:v>Финансов резултат</c:v>
                </c:pt>
              </c:strCache>
            </c:strRef>
          </c:tx>
          <c:spPr>
            <a:solidFill>
              <a:schemeClr val="accent6">
                <a:lumMod val="60000"/>
                <a:lumOff val="40000"/>
              </a:schemeClr>
            </a:solidFill>
          </c:spPr>
          <c:invertIfNegative val="0"/>
          <c:cat>
            <c:numRef>
              <c:f>'finansovi pokazateli'!$J$36:$K$36</c:f>
              <c:numCache>
                <c:formatCode>General</c:formatCode>
                <c:ptCount val="2"/>
                <c:pt idx="0">
                  <c:v>2021</c:v>
                </c:pt>
                <c:pt idx="1">
                  <c:v>2020</c:v>
                </c:pt>
              </c:numCache>
            </c:numRef>
          </c:cat>
          <c:val>
            <c:numRef>
              <c:f>'finansovi pokazateli'!$J$39:$K$39</c:f>
              <c:numCache>
                <c:formatCode>0</c:formatCode>
                <c:ptCount val="2"/>
                <c:pt idx="0">
                  <c:v>224</c:v>
                </c:pt>
                <c:pt idx="1">
                  <c:v>109</c:v>
                </c:pt>
              </c:numCache>
            </c:numRef>
          </c:val>
          <c:shape val="pyramid"/>
          <c:extLst xmlns:c16r2="http://schemas.microsoft.com/office/drawing/2015/06/chart">
            <c:ext xmlns:c16="http://schemas.microsoft.com/office/drawing/2014/chart" uri="{C3380CC4-5D6E-409C-BE32-E72D297353CC}">
              <c16:uniqueId val="{00000002-2B1A-4F3C-884F-7752D45FDD9F}"/>
            </c:ext>
          </c:extLst>
        </c:ser>
        <c:dLbls>
          <c:showLegendKey val="0"/>
          <c:showVal val="0"/>
          <c:showCatName val="0"/>
          <c:showSerName val="0"/>
          <c:showPercent val="0"/>
          <c:showBubbleSize val="0"/>
        </c:dLbls>
        <c:gapWidth val="150"/>
        <c:shape val="box"/>
        <c:axId val="68473344"/>
        <c:axId val="560259072"/>
        <c:axId val="0"/>
      </c:bar3DChart>
      <c:catAx>
        <c:axId val="68473344"/>
        <c:scaling>
          <c:orientation val="minMax"/>
        </c:scaling>
        <c:delete val="0"/>
        <c:axPos val="b"/>
        <c:numFmt formatCode="General" sourceLinked="1"/>
        <c:majorTickMark val="none"/>
        <c:minorTickMark val="none"/>
        <c:tickLblPos val="low"/>
        <c:txPr>
          <a:bodyPr rot="0" vert="horz"/>
          <a:lstStyle/>
          <a:p>
            <a:pPr>
              <a:defRPr sz="1000" b="0" i="0" u="none" strike="noStrike" baseline="0">
                <a:solidFill>
                  <a:srgbClr val="000000"/>
                </a:solidFill>
                <a:latin typeface="Calibri"/>
                <a:ea typeface="Calibri"/>
                <a:cs typeface="Calibri"/>
              </a:defRPr>
            </a:pPr>
            <a:endParaRPr lang="bg-BG"/>
          </a:p>
        </c:txPr>
        <c:crossAx val="560259072"/>
        <c:crosses val="autoZero"/>
        <c:auto val="1"/>
        <c:lblAlgn val="ctr"/>
        <c:lblOffset val="100"/>
        <c:tickLblSkip val="1"/>
        <c:tickMarkSkip val="1"/>
        <c:noMultiLvlLbl val="0"/>
      </c:catAx>
      <c:valAx>
        <c:axId val="560259072"/>
        <c:scaling>
          <c:orientation val="minMax"/>
        </c:scaling>
        <c:delete val="0"/>
        <c:axPos val="l"/>
        <c:majorGridlines/>
        <c:numFmt formatCode="0.00" sourceLinked="0"/>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bg-BG"/>
          </a:p>
        </c:txPr>
        <c:crossAx val="68473344"/>
        <c:crosses val="autoZero"/>
        <c:crossBetween val="between"/>
        <c:minorUnit val="5.8920000000000003"/>
      </c:valAx>
      <c:spPr>
        <a:noFill/>
        <a:ln w="25400">
          <a:noFill/>
        </a:ln>
      </c:spPr>
    </c:plotArea>
    <c:legend>
      <c:legendPos val="r"/>
      <c:layout>
        <c:manualLayout>
          <c:xMode val="edge"/>
          <c:yMode val="edge"/>
          <c:x val="0.75920141590454115"/>
          <c:y val="0.44362259477412935"/>
          <c:w val="0.22027120384077598"/>
          <c:h val="0.21053275684195968"/>
        </c:manualLayout>
      </c:layout>
      <c:overlay val="0"/>
      <c:txPr>
        <a:bodyPr/>
        <a:lstStyle/>
        <a:p>
          <a:pPr>
            <a:defRPr sz="920" b="0" i="0" u="none" strike="noStrike" baseline="0">
              <a:solidFill>
                <a:srgbClr val="000000"/>
              </a:solidFill>
              <a:latin typeface="Calibri"/>
              <a:ea typeface="Calibri"/>
              <a:cs typeface="Calibri"/>
            </a:defRPr>
          </a:pPr>
          <a:endParaRPr lang="bg-BG"/>
        </a:p>
      </c:txPr>
    </c:legend>
    <c:plotVisOnly val="1"/>
    <c:dispBlanksAs val="gap"/>
    <c:showDLblsOverMax val="0"/>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chemeClr val="accent6">
          <a:lumMod val="75000"/>
        </a:schemeClr>
      </a:solidFill>
    </a:ln>
    <a:effectLst>
      <a:outerShdw blurRad="50800" dist="38100" dir="5400000" algn="t" rotWithShape="0">
        <a:schemeClr val="accent6">
          <a:lumMod val="20000"/>
          <a:lumOff val="80000"/>
          <a:alpha val="40000"/>
        </a:schemeClr>
      </a:outerShdw>
    </a:effectLst>
  </c:spPr>
  <c:txPr>
    <a:bodyPr/>
    <a:lstStyle/>
    <a:p>
      <a:pPr>
        <a:defRPr sz="1000" b="0" i="0" u="none" strike="noStrike" baseline="0">
          <a:solidFill>
            <a:srgbClr val="000000"/>
          </a:solidFill>
          <a:latin typeface="Calibri"/>
          <a:ea typeface="Calibri"/>
          <a:cs typeface="Calibri"/>
        </a:defRPr>
      </a:pPr>
      <a:endParaRPr lang="bg-BG"/>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13"/>
    </mc:Choice>
    <mc:Fallback>
      <c:style val="13"/>
    </mc:Fallback>
  </mc:AlternateContent>
  <c:chart>
    <c:title>
      <c:tx>
        <c:rich>
          <a:bodyPr/>
          <a:lstStyle/>
          <a:p>
            <a:pPr>
              <a:defRPr sz="1050" b="1" i="0" u="none" strike="noStrike" baseline="0">
                <a:solidFill>
                  <a:srgbClr val="000000"/>
                </a:solidFill>
                <a:latin typeface="Calibri"/>
                <a:ea typeface="Calibri"/>
                <a:cs typeface="Calibri"/>
              </a:defRPr>
            </a:pPr>
            <a:r>
              <a:rPr lang="bg-BG"/>
              <a:t>Финансова автономност</a:t>
            </a:r>
          </a:p>
        </c:rich>
      </c:tx>
      <c:overlay val="0"/>
    </c:title>
    <c:autoTitleDeleted val="0"/>
    <c:view3D>
      <c:rotX val="10"/>
      <c:hPercent val="84"/>
      <c:rotY val="15"/>
      <c:depthPercent val="100"/>
      <c:rAngAx val="1"/>
    </c:view3D>
    <c:floor>
      <c:thickness val="0"/>
    </c:floor>
    <c:sideWall>
      <c:thickness val="0"/>
    </c:sideWall>
    <c:backWall>
      <c:thickness val="0"/>
    </c:backWall>
    <c:plotArea>
      <c:layout/>
      <c:bar3DChart>
        <c:barDir val="col"/>
        <c:grouping val="clustered"/>
        <c:varyColors val="0"/>
        <c:ser>
          <c:idx val="0"/>
          <c:order val="0"/>
          <c:tx>
            <c:strRef>
              <c:f>'finansovi pokazateli'!$I$64</c:f>
              <c:strCache>
                <c:ptCount val="1"/>
                <c:pt idx="0">
                  <c:v>Коеф. на финансова автономност </c:v>
                </c:pt>
              </c:strCache>
            </c:strRef>
          </c:tx>
          <c:spPr>
            <a:solidFill>
              <a:schemeClr val="accent6">
                <a:lumMod val="50000"/>
              </a:schemeClr>
            </a:solidFill>
          </c:spPr>
          <c:invertIfNegative val="0"/>
          <c:cat>
            <c:numRef>
              <c:f>'finansovi pokazateli'!$J$63:$K$63</c:f>
              <c:numCache>
                <c:formatCode>General</c:formatCode>
                <c:ptCount val="2"/>
                <c:pt idx="0">
                  <c:v>2021</c:v>
                </c:pt>
                <c:pt idx="1">
                  <c:v>2020</c:v>
                </c:pt>
              </c:numCache>
            </c:numRef>
          </c:cat>
          <c:val>
            <c:numRef>
              <c:f>'finansovi pokazateli'!$J$64:$K$64</c:f>
              <c:numCache>
                <c:formatCode>0.00</c:formatCode>
                <c:ptCount val="2"/>
                <c:pt idx="0">
                  <c:v>0.56716417910447758</c:v>
                </c:pt>
                <c:pt idx="1">
                  <c:v>0.25695364238410595</c:v>
                </c:pt>
              </c:numCache>
            </c:numRef>
          </c:val>
          <c:shape val="pyramid"/>
          <c:extLst xmlns:c16r2="http://schemas.microsoft.com/office/drawing/2015/06/chart">
            <c:ext xmlns:c16="http://schemas.microsoft.com/office/drawing/2014/chart" uri="{C3380CC4-5D6E-409C-BE32-E72D297353CC}">
              <c16:uniqueId val="{00000000-F91A-4BE2-8A7F-750FC3749C4C}"/>
            </c:ext>
          </c:extLst>
        </c:ser>
        <c:ser>
          <c:idx val="1"/>
          <c:order val="1"/>
          <c:tx>
            <c:strRef>
              <c:f>'finansovi pokazateli'!$I$65</c:f>
              <c:strCache>
                <c:ptCount val="1"/>
                <c:pt idx="0">
                  <c:v>Коеф. на платежоспособност </c:v>
                </c:pt>
              </c:strCache>
            </c:strRef>
          </c:tx>
          <c:spPr>
            <a:solidFill>
              <a:schemeClr val="accent6">
                <a:lumMod val="60000"/>
                <a:lumOff val="40000"/>
              </a:schemeClr>
            </a:solidFill>
          </c:spPr>
          <c:invertIfNegative val="0"/>
          <c:cat>
            <c:numRef>
              <c:f>'finansovi pokazateli'!$J$63:$K$63</c:f>
              <c:numCache>
                <c:formatCode>General</c:formatCode>
                <c:ptCount val="2"/>
                <c:pt idx="0">
                  <c:v>2021</c:v>
                </c:pt>
                <c:pt idx="1">
                  <c:v>2020</c:v>
                </c:pt>
              </c:numCache>
            </c:numRef>
          </c:cat>
          <c:val>
            <c:numRef>
              <c:f>'finansovi pokazateli'!$J$65:$K$65</c:f>
              <c:numCache>
                <c:formatCode>0.00</c:formatCode>
                <c:ptCount val="2"/>
                <c:pt idx="0">
                  <c:v>1.5671641791044777</c:v>
                </c:pt>
                <c:pt idx="1">
                  <c:v>1.2569536423841059</c:v>
                </c:pt>
              </c:numCache>
            </c:numRef>
          </c:val>
          <c:shape val="pyramid"/>
          <c:extLst xmlns:c16r2="http://schemas.microsoft.com/office/drawing/2015/06/chart">
            <c:ext xmlns:c16="http://schemas.microsoft.com/office/drawing/2014/chart" uri="{C3380CC4-5D6E-409C-BE32-E72D297353CC}">
              <c16:uniqueId val="{00000001-F91A-4BE2-8A7F-750FC3749C4C}"/>
            </c:ext>
          </c:extLst>
        </c:ser>
        <c:dLbls>
          <c:showLegendKey val="0"/>
          <c:showVal val="0"/>
          <c:showCatName val="0"/>
          <c:showSerName val="0"/>
          <c:showPercent val="0"/>
          <c:showBubbleSize val="0"/>
        </c:dLbls>
        <c:gapWidth val="150"/>
        <c:shape val="box"/>
        <c:axId val="96958464"/>
        <c:axId val="560261376"/>
        <c:axId val="0"/>
      </c:bar3DChart>
      <c:catAx>
        <c:axId val="96958464"/>
        <c:scaling>
          <c:orientation val="minMax"/>
        </c:scaling>
        <c:delete val="0"/>
        <c:axPos val="b"/>
        <c:numFmt formatCode="General" sourceLinked="1"/>
        <c:majorTickMark val="none"/>
        <c:minorTickMark val="none"/>
        <c:tickLblPos val="low"/>
        <c:txPr>
          <a:bodyPr rot="0" vert="horz"/>
          <a:lstStyle/>
          <a:p>
            <a:pPr>
              <a:defRPr sz="1050" b="0" i="0" u="none" strike="noStrike" baseline="0">
                <a:solidFill>
                  <a:srgbClr val="000000"/>
                </a:solidFill>
                <a:latin typeface="Calibri"/>
                <a:ea typeface="Calibri"/>
                <a:cs typeface="Calibri"/>
              </a:defRPr>
            </a:pPr>
            <a:endParaRPr lang="bg-BG"/>
          </a:p>
        </c:txPr>
        <c:crossAx val="560261376"/>
        <c:crosses val="autoZero"/>
        <c:auto val="1"/>
        <c:lblAlgn val="ctr"/>
        <c:lblOffset val="100"/>
        <c:tickLblSkip val="1"/>
        <c:tickMarkSkip val="1"/>
        <c:noMultiLvlLbl val="0"/>
      </c:catAx>
      <c:valAx>
        <c:axId val="560261376"/>
        <c:scaling>
          <c:orientation val="minMax"/>
        </c:scaling>
        <c:delete val="0"/>
        <c:axPos val="l"/>
        <c:majorGridlines/>
        <c:numFmt formatCode="0.00" sourceLinked="0"/>
        <c:majorTickMark val="none"/>
        <c:minorTickMark val="none"/>
        <c:tickLblPos val="nextTo"/>
        <c:txPr>
          <a:bodyPr rot="0" vert="horz"/>
          <a:lstStyle/>
          <a:p>
            <a:pPr>
              <a:defRPr sz="1050" b="0" i="0" u="none" strike="noStrike" baseline="0">
                <a:solidFill>
                  <a:srgbClr val="000000"/>
                </a:solidFill>
                <a:latin typeface="Calibri"/>
                <a:ea typeface="Calibri"/>
                <a:cs typeface="Calibri"/>
              </a:defRPr>
            </a:pPr>
            <a:endParaRPr lang="bg-BG"/>
          </a:p>
        </c:txPr>
        <c:crossAx val="96958464"/>
        <c:crosses val="autoZero"/>
        <c:crossBetween val="between"/>
      </c:valAx>
      <c:spPr>
        <a:noFill/>
        <a:ln w="25400">
          <a:noFill/>
        </a:ln>
      </c:spPr>
    </c:plotArea>
    <c:legend>
      <c:legendPos val="r"/>
      <c:layout>
        <c:manualLayout>
          <c:xMode val="edge"/>
          <c:yMode val="edge"/>
          <c:x val="0.65841561293931639"/>
          <c:y val="0.43281028015424261"/>
          <c:w val="0.31825854461368286"/>
          <c:h val="0.25269668530744593"/>
        </c:manualLayout>
      </c:layout>
      <c:overlay val="0"/>
      <c:txPr>
        <a:bodyPr/>
        <a:lstStyle/>
        <a:p>
          <a:pPr>
            <a:defRPr sz="920" b="0" i="0" u="none" strike="noStrike" baseline="0">
              <a:solidFill>
                <a:srgbClr val="000000"/>
              </a:solidFill>
              <a:latin typeface="Calibri"/>
              <a:ea typeface="Calibri"/>
              <a:cs typeface="Calibri"/>
            </a:defRPr>
          </a:pPr>
          <a:endParaRPr lang="bg-BG"/>
        </a:p>
      </c:txPr>
    </c:legend>
    <c:plotVisOnly val="1"/>
    <c:dispBlanksAs val="gap"/>
    <c:showDLblsOverMax val="0"/>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chemeClr val="accent6">
          <a:lumMod val="75000"/>
        </a:schemeClr>
      </a:solidFill>
    </a:ln>
    <a:effectLst>
      <a:outerShdw blurRad="50800" dist="38100" dir="5400000" algn="t" rotWithShape="0">
        <a:schemeClr val="accent6">
          <a:lumMod val="20000"/>
          <a:lumOff val="80000"/>
          <a:alpha val="40000"/>
        </a:schemeClr>
      </a:outerShdw>
    </a:effectLst>
  </c:spPr>
  <c:txPr>
    <a:bodyPr/>
    <a:lstStyle/>
    <a:p>
      <a:pPr>
        <a:defRPr sz="1050" b="0" i="0" u="none" strike="noStrike" baseline="0">
          <a:solidFill>
            <a:srgbClr val="000000"/>
          </a:solidFill>
          <a:latin typeface="Calibri"/>
          <a:ea typeface="Calibri"/>
          <a:cs typeface="Calibri"/>
        </a:defRPr>
      </a:pPr>
      <a:endParaRPr lang="bg-BG"/>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21"/>
    </mc:Choice>
    <mc:Fallback>
      <c:style val="21"/>
    </mc:Fallback>
  </mc:AlternateContent>
  <c:chart>
    <c:title>
      <c:tx>
        <c:rich>
          <a:bodyPr/>
          <a:lstStyle/>
          <a:p>
            <a:pPr>
              <a:defRPr sz="1050" b="1" i="0" u="none" strike="noStrike" baseline="0">
                <a:solidFill>
                  <a:srgbClr val="000000"/>
                </a:solidFill>
                <a:latin typeface="Calibri"/>
                <a:ea typeface="Calibri"/>
                <a:cs typeface="Calibri"/>
              </a:defRPr>
            </a:pPr>
            <a:r>
              <a:rPr lang="bg-BG"/>
              <a:t>Рентабилност</a:t>
            </a:r>
          </a:p>
        </c:rich>
      </c:tx>
      <c:overlay val="0"/>
    </c:title>
    <c:autoTitleDeleted val="0"/>
    <c:view3D>
      <c:rotX val="10"/>
      <c:hPercent val="82"/>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'finansovi pokazateli'!$I$87</c:f>
              <c:strCache>
                <c:ptCount val="1"/>
                <c:pt idx="0">
                  <c:v>Коеф. на рентабилност на приходите от продажби</c:v>
                </c:pt>
              </c:strCache>
            </c:strRef>
          </c:tx>
          <c:spPr>
            <a:solidFill>
              <a:schemeClr val="accent6">
                <a:lumMod val="50000"/>
              </a:schemeClr>
            </a:solidFill>
          </c:spPr>
          <c:invertIfNegative val="0"/>
          <c:cat>
            <c:numRef>
              <c:f>'finansovi pokazateli'!$J$86:$K$86</c:f>
              <c:numCache>
                <c:formatCode>General</c:formatCode>
                <c:ptCount val="2"/>
                <c:pt idx="0">
                  <c:v>2021</c:v>
                </c:pt>
                <c:pt idx="1">
                  <c:v>2020</c:v>
                </c:pt>
              </c:numCache>
            </c:numRef>
          </c:cat>
          <c:val>
            <c:numRef>
              <c:f>'finansovi pokazateli'!$J$87:$K$87</c:f>
              <c:numCache>
                <c:formatCode>0.000</c:formatCode>
                <c:ptCount val="2"/>
                <c:pt idx="0">
                  <c:v>0.10031347962382445</c:v>
                </c:pt>
                <c:pt idx="1">
                  <c:v>6.0022026431718063E-2</c:v>
                </c:pt>
              </c:numCache>
            </c:numRef>
          </c:val>
          <c:shape val="pyramid"/>
          <c:extLst xmlns:c16r2="http://schemas.microsoft.com/office/drawing/2015/06/chart">
            <c:ext xmlns:c16="http://schemas.microsoft.com/office/drawing/2014/chart" uri="{C3380CC4-5D6E-409C-BE32-E72D297353CC}">
              <c16:uniqueId val="{00000000-6632-4E48-A441-8C128EC035AB}"/>
            </c:ext>
          </c:extLst>
        </c:ser>
        <c:ser>
          <c:idx val="1"/>
          <c:order val="1"/>
          <c:tx>
            <c:strRef>
              <c:f>'finansovi pokazateli'!$I$88</c:f>
              <c:strCache>
                <c:ptCount val="1"/>
                <c:pt idx="0">
                  <c:v> Коеф. на рентабилност на собствения капитал</c:v>
                </c:pt>
              </c:strCache>
            </c:strRef>
          </c:tx>
          <c:spPr>
            <a:solidFill>
              <a:schemeClr val="accent6">
                <a:lumMod val="75000"/>
              </a:schemeClr>
            </a:solidFill>
          </c:spPr>
          <c:invertIfNegative val="0"/>
          <c:cat>
            <c:numRef>
              <c:f>'finansovi pokazateli'!$J$86:$K$86</c:f>
              <c:numCache>
                <c:formatCode>General</c:formatCode>
                <c:ptCount val="2"/>
                <c:pt idx="0">
                  <c:v>2021</c:v>
                </c:pt>
                <c:pt idx="1">
                  <c:v>2020</c:v>
                </c:pt>
              </c:numCache>
            </c:numRef>
          </c:cat>
          <c:val>
            <c:numRef>
              <c:f>'finansovi pokazateli'!$J$88:$K$88</c:f>
              <c:numCache>
                <c:formatCode>0.000</c:formatCode>
                <c:ptCount val="2"/>
                <c:pt idx="0">
                  <c:v>0.53588516746411485</c:v>
                </c:pt>
                <c:pt idx="1">
                  <c:v>0.56185567010309279</c:v>
                </c:pt>
              </c:numCache>
            </c:numRef>
          </c:val>
          <c:shape val="pyramid"/>
          <c:extLst xmlns:c16r2="http://schemas.microsoft.com/office/drawing/2015/06/chart">
            <c:ext xmlns:c16="http://schemas.microsoft.com/office/drawing/2014/chart" uri="{C3380CC4-5D6E-409C-BE32-E72D297353CC}">
              <c16:uniqueId val="{00000001-6632-4E48-A441-8C128EC035AB}"/>
            </c:ext>
          </c:extLst>
        </c:ser>
        <c:ser>
          <c:idx val="2"/>
          <c:order val="2"/>
          <c:tx>
            <c:strRef>
              <c:f>'finansovi pokazateli'!$I$89</c:f>
              <c:strCache>
                <c:ptCount val="1"/>
                <c:pt idx="0">
                  <c:v>Коеф. на рентабилност на пасивите </c:v>
                </c:pt>
              </c:strCache>
            </c:strRef>
          </c:tx>
          <c:spPr>
            <a:solidFill>
              <a:schemeClr val="accent6">
                <a:lumMod val="60000"/>
                <a:lumOff val="40000"/>
              </a:schemeClr>
            </a:solidFill>
          </c:spPr>
          <c:invertIfNegative val="0"/>
          <c:cat>
            <c:numRef>
              <c:f>'finansovi pokazateli'!$J$86:$K$86</c:f>
              <c:numCache>
                <c:formatCode>General</c:formatCode>
                <c:ptCount val="2"/>
                <c:pt idx="0">
                  <c:v>2021</c:v>
                </c:pt>
                <c:pt idx="1">
                  <c:v>2020</c:v>
                </c:pt>
              </c:numCache>
            </c:numRef>
          </c:cat>
          <c:val>
            <c:numRef>
              <c:f>'finansovi pokazateli'!$J$89:$K$89</c:f>
              <c:numCache>
                <c:formatCode>0.000</c:formatCode>
                <c:ptCount val="2"/>
                <c:pt idx="0">
                  <c:v>0.30393487109905021</c:v>
                </c:pt>
                <c:pt idx="1">
                  <c:v>0.14437086092715232</c:v>
                </c:pt>
              </c:numCache>
            </c:numRef>
          </c:val>
          <c:shape val="pyramid"/>
          <c:extLst xmlns:c16r2="http://schemas.microsoft.com/office/drawing/2015/06/chart">
            <c:ext xmlns:c16="http://schemas.microsoft.com/office/drawing/2014/chart" uri="{C3380CC4-5D6E-409C-BE32-E72D297353CC}">
              <c16:uniqueId val="{00000002-6632-4E48-A441-8C128EC035AB}"/>
            </c:ext>
          </c:extLst>
        </c:ser>
        <c:ser>
          <c:idx val="3"/>
          <c:order val="3"/>
          <c:tx>
            <c:strRef>
              <c:f>'finansovi pokazateli'!$I$90</c:f>
              <c:strCache>
                <c:ptCount val="1"/>
                <c:pt idx="0">
                  <c:v>Коеф. на капитализация на активите</c:v>
                </c:pt>
              </c:strCache>
            </c:strRef>
          </c:tx>
          <c:spPr>
            <a:solidFill>
              <a:schemeClr val="accent6">
                <a:lumMod val="40000"/>
                <a:lumOff val="60000"/>
              </a:schemeClr>
            </a:solidFill>
          </c:spPr>
          <c:invertIfNegative val="0"/>
          <c:cat>
            <c:numRef>
              <c:f>'finansovi pokazateli'!$J$86:$K$86</c:f>
              <c:numCache>
                <c:formatCode>General</c:formatCode>
                <c:ptCount val="2"/>
                <c:pt idx="0">
                  <c:v>2021</c:v>
                </c:pt>
                <c:pt idx="1">
                  <c:v>2020</c:v>
                </c:pt>
              </c:numCache>
            </c:numRef>
          </c:cat>
          <c:val>
            <c:numRef>
              <c:f>'finansovi pokazateli'!$J$90:$K$90</c:f>
              <c:numCache>
                <c:formatCode>0.000</c:formatCode>
                <c:ptCount val="2"/>
                <c:pt idx="0">
                  <c:v>0.19393939393939394</c:v>
                </c:pt>
                <c:pt idx="1">
                  <c:v>0.1148577449947313</c:v>
                </c:pt>
              </c:numCache>
            </c:numRef>
          </c:val>
          <c:shape val="pyramid"/>
          <c:extLst xmlns:c16r2="http://schemas.microsoft.com/office/drawing/2015/06/chart">
            <c:ext xmlns:c16="http://schemas.microsoft.com/office/drawing/2014/chart" uri="{C3380CC4-5D6E-409C-BE32-E72D297353CC}">
              <c16:uniqueId val="{00000003-6632-4E48-A441-8C128EC035AB}"/>
            </c:ext>
          </c:extLst>
        </c:ser>
        <c:dLbls>
          <c:showLegendKey val="0"/>
          <c:showVal val="0"/>
          <c:showCatName val="0"/>
          <c:showSerName val="0"/>
          <c:showPercent val="0"/>
          <c:showBubbleSize val="0"/>
        </c:dLbls>
        <c:gapWidth val="150"/>
        <c:shape val="box"/>
        <c:axId val="106300928"/>
        <c:axId val="560263104"/>
        <c:axId val="0"/>
      </c:bar3DChart>
      <c:catAx>
        <c:axId val="106300928"/>
        <c:scaling>
          <c:orientation val="minMax"/>
        </c:scaling>
        <c:delete val="0"/>
        <c:axPos val="b"/>
        <c:numFmt formatCode="General" sourceLinked="1"/>
        <c:majorTickMark val="none"/>
        <c:minorTickMark val="none"/>
        <c:tickLblPos val="low"/>
        <c:txPr>
          <a:bodyPr rot="0" vert="horz"/>
          <a:lstStyle/>
          <a:p>
            <a:pPr>
              <a:defRPr sz="1000" b="0" i="0" u="none" strike="noStrike" baseline="0">
                <a:solidFill>
                  <a:srgbClr val="000000"/>
                </a:solidFill>
                <a:latin typeface="Calibri"/>
                <a:ea typeface="Calibri"/>
                <a:cs typeface="Calibri"/>
              </a:defRPr>
            </a:pPr>
            <a:endParaRPr lang="bg-BG"/>
          </a:p>
        </c:txPr>
        <c:crossAx val="560263104"/>
        <c:crosses val="autoZero"/>
        <c:auto val="1"/>
        <c:lblAlgn val="ctr"/>
        <c:lblOffset val="100"/>
        <c:tickLblSkip val="1"/>
        <c:tickMarkSkip val="1"/>
        <c:noMultiLvlLbl val="0"/>
      </c:catAx>
      <c:valAx>
        <c:axId val="560263104"/>
        <c:scaling>
          <c:orientation val="minMax"/>
        </c:scaling>
        <c:delete val="0"/>
        <c:axPos val="l"/>
        <c:majorGridlines/>
        <c:numFmt formatCode="0.00" sourceLinked="0"/>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bg-BG"/>
          </a:p>
        </c:txPr>
        <c:crossAx val="106300928"/>
        <c:crosses val="autoZero"/>
        <c:crossBetween val="between"/>
      </c:valAx>
      <c:spPr>
        <a:noFill/>
        <a:ln w="25400">
          <a:noFill/>
        </a:ln>
      </c:spPr>
    </c:plotArea>
    <c:legend>
      <c:legendPos val="r"/>
      <c:layout>
        <c:manualLayout>
          <c:xMode val="edge"/>
          <c:yMode val="edge"/>
          <c:x val="0.6856104783538205"/>
          <c:y val="0.30607870638559936"/>
          <c:w val="0.29549666052192269"/>
          <c:h val="0.49605859310769546"/>
        </c:manualLayout>
      </c:layout>
      <c:overlay val="0"/>
      <c:txPr>
        <a:bodyPr/>
        <a:lstStyle/>
        <a:p>
          <a:pPr>
            <a:defRPr sz="920" b="0" i="0" u="none" strike="noStrike" baseline="0">
              <a:solidFill>
                <a:srgbClr val="000000"/>
              </a:solidFill>
              <a:latin typeface="Calibri"/>
              <a:ea typeface="Calibri"/>
              <a:cs typeface="Calibri"/>
            </a:defRPr>
          </a:pPr>
          <a:endParaRPr lang="bg-BG"/>
        </a:p>
      </c:txPr>
    </c:legend>
    <c:plotVisOnly val="1"/>
    <c:dispBlanksAs val="gap"/>
    <c:showDLblsOverMax val="0"/>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chemeClr val="accent6">
          <a:lumMod val="75000"/>
        </a:schemeClr>
      </a:solidFill>
    </a:ln>
    <a:effectLst>
      <a:outerShdw blurRad="50800" dist="38100" dir="5400000" algn="t" rotWithShape="0">
        <a:schemeClr val="accent6">
          <a:lumMod val="20000"/>
          <a:lumOff val="80000"/>
          <a:alpha val="40000"/>
        </a:schemeClr>
      </a:outerShdw>
    </a:effectLst>
  </c:spPr>
  <c:txPr>
    <a:bodyPr/>
    <a:lstStyle/>
    <a:p>
      <a:pPr>
        <a:defRPr sz="1000" b="0" i="0" u="none" strike="noStrike" baseline="0">
          <a:solidFill>
            <a:srgbClr val="000000"/>
          </a:solidFill>
          <a:latin typeface="Calibri"/>
          <a:ea typeface="Calibri"/>
          <a:cs typeface="Calibri"/>
        </a:defRPr>
      </a:pPr>
      <a:endParaRPr lang="bg-BG"/>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29"/>
    </mc:Choice>
    <mc:Fallback>
      <c:style val="29"/>
    </mc:Fallback>
  </mc:AlternateContent>
  <c:chart>
    <c:title>
      <c:tx>
        <c:rich>
          <a:bodyPr/>
          <a:lstStyle/>
          <a:p>
            <a:pPr>
              <a:defRPr sz="1050" b="1" i="0" u="none" strike="noStrike" baseline="0">
                <a:solidFill>
                  <a:srgbClr val="000000"/>
                </a:solidFill>
                <a:latin typeface="Calibri"/>
                <a:ea typeface="Calibri"/>
                <a:cs typeface="Calibri"/>
              </a:defRPr>
            </a:pPr>
            <a:r>
              <a:rPr lang="bg-BG"/>
              <a:t>Ефективност</a:t>
            </a:r>
          </a:p>
        </c:rich>
      </c:tx>
      <c:overlay val="0"/>
    </c:title>
    <c:autoTitleDeleted val="0"/>
    <c:view3D>
      <c:rotX val="12"/>
      <c:hPercent val="84"/>
      <c:rotY val="23"/>
      <c:depthPercent val="100"/>
      <c:rAngAx val="1"/>
    </c:view3D>
    <c:floor>
      <c:thickness val="0"/>
    </c:floor>
    <c:sideWall>
      <c:thickness val="0"/>
    </c:sideWall>
    <c:backWall>
      <c:thickness val="0"/>
    </c:backWall>
    <c:plotArea>
      <c:layout/>
      <c:bar3DChart>
        <c:barDir val="col"/>
        <c:grouping val="clustered"/>
        <c:varyColors val="0"/>
        <c:ser>
          <c:idx val="0"/>
          <c:order val="0"/>
          <c:tx>
            <c:strRef>
              <c:f>'finansovi pokazateli'!$I$113</c:f>
              <c:strCache>
                <c:ptCount val="1"/>
                <c:pt idx="0">
                  <c:v>Коеф. на ефективност на разходите (4/6)</c:v>
                </c:pt>
              </c:strCache>
            </c:strRef>
          </c:tx>
          <c:spPr>
            <a:solidFill>
              <a:schemeClr val="accent6">
                <a:lumMod val="50000"/>
              </a:schemeClr>
            </a:solidFill>
          </c:spPr>
          <c:invertIfNegative val="0"/>
          <c:cat>
            <c:numRef>
              <c:f>'finansovi pokazateli'!$J$112:$K$112</c:f>
              <c:numCache>
                <c:formatCode>General</c:formatCode>
                <c:ptCount val="2"/>
                <c:pt idx="0">
                  <c:v>2021</c:v>
                </c:pt>
                <c:pt idx="1">
                  <c:v>2020</c:v>
                </c:pt>
              </c:numCache>
            </c:numRef>
          </c:cat>
          <c:val>
            <c:numRef>
              <c:f>'finansovi pokazateli'!$J$113:$K$113</c:f>
              <c:numCache>
                <c:formatCode>0.000</c:formatCode>
                <c:ptCount val="2"/>
                <c:pt idx="0">
                  <c:v>1.1224289911851126</c:v>
                </c:pt>
                <c:pt idx="1">
                  <c:v>1.0681818181818181</c:v>
                </c:pt>
              </c:numCache>
            </c:numRef>
          </c:val>
          <c:shape val="pyramid"/>
          <c:extLst xmlns:c16r2="http://schemas.microsoft.com/office/drawing/2015/06/chart">
            <c:ext xmlns:c16="http://schemas.microsoft.com/office/drawing/2014/chart" uri="{C3380CC4-5D6E-409C-BE32-E72D297353CC}">
              <c16:uniqueId val="{00000000-6E36-415B-99FB-11CB097B1679}"/>
            </c:ext>
          </c:extLst>
        </c:ser>
        <c:ser>
          <c:idx val="1"/>
          <c:order val="1"/>
          <c:tx>
            <c:strRef>
              <c:f>'finansovi pokazateli'!$I$114</c:f>
              <c:strCache>
                <c:ptCount val="1"/>
                <c:pt idx="0">
                  <c:v>Коефициент на ефективност на разходите от оперативна дейност (3/5)</c:v>
                </c:pt>
              </c:strCache>
            </c:strRef>
          </c:tx>
          <c:spPr>
            <a:solidFill>
              <a:schemeClr val="accent6">
                <a:lumMod val="60000"/>
                <a:lumOff val="40000"/>
              </a:schemeClr>
            </a:solidFill>
          </c:spPr>
          <c:invertIfNegative val="0"/>
          <c:cat>
            <c:numRef>
              <c:f>'finansovi pokazateli'!$J$112:$K$112</c:f>
              <c:numCache>
                <c:formatCode>General</c:formatCode>
                <c:ptCount val="2"/>
                <c:pt idx="0">
                  <c:v>2021</c:v>
                </c:pt>
                <c:pt idx="1">
                  <c:v>2020</c:v>
                </c:pt>
              </c:numCache>
            </c:numRef>
          </c:cat>
          <c:val>
            <c:numRef>
              <c:f>'finansovi pokazateli'!$J$114:$K$114</c:f>
              <c:numCache>
                <c:formatCode>0.000</c:formatCode>
                <c:ptCount val="2"/>
                <c:pt idx="0">
                  <c:v>1.1251840942562592</c:v>
                </c:pt>
                <c:pt idx="1">
                  <c:v>1.0742857142857143</c:v>
                </c:pt>
              </c:numCache>
            </c:numRef>
          </c:val>
          <c:shape val="pyramid"/>
          <c:extLst xmlns:c16r2="http://schemas.microsoft.com/office/drawing/2015/06/chart">
            <c:ext xmlns:c16="http://schemas.microsoft.com/office/drawing/2014/chart" uri="{C3380CC4-5D6E-409C-BE32-E72D297353CC}">
              <c16:uniqueId val="{00000001-6E36-415B-99FB-11CB097B1679}"/>
            </c:ext>
          </c:extLst>
        </c:ser>
        <c:dLbls>
          <c:showLegendKey val="0"/>
          <c:showVal val="0"/>
          <c:showCatName val="0"/>
          <c:showSerName val="0"/>
          <c:showPercent val="0"/>
          <c:showBubbleSize val="0"/>
        </c:dLbls>
        <c:gapWidth val="150"/>
        <c:shape val="box"/>
        <c:axId val="68474880"/>
        <c:axId val="560264832"/>
        <c:axId val="0"/>
      </c:bar3DChart>
      <c:catAx>
        <c:axId val="68474880"/>
        <c:scaling>
          <c:orientation val="minMax"/>
        </c:scaling>
        <c:delete val="0"/>
        <c:axPos val="b"/>
        <c:numFmt formatCode="General" sourceLinked="1"/>
        <c:majorTickMark val="none"/>
        <c:minorTickMark val="none"/>
        <c:tickLblPos val="low"/>
        <c:txPr>
          <a:bodyPr rot="0" vert="horz"/>
          <a:lstStyle/>
          <a:p>
            <a:pPr>
              <a:defRPr sz="1000" b="0" i="0" u="none" strike="noStrike" baseline="0">
                <a:solidFill>
                  <a:srgbClr val="000000"/>
                </a:solidFill>
                <a:latin typeface="Calibri"/>
                <a:ea typeface="Calibri"/>
                <a:cs typeface="Calibri"/>
              </a:defRPr>
            </a:pPr>
            <a:endParaRPr lang="bg-BG"/>
          </a:p>
        </c:txPr>
        <c:crossAx val="560264832"/>
        <c:crosses val="autoZero"/>
        <c:auto val="1"/>
        <c:lblAlgn val="ctr"/>
        <c:lblOffset val="100"/>
        <c:tickLblSkip val="1"/>
        <c:tickMarkSkip val="1"/>
        <c:noMultiLvlLbl val="0"/>
      </c:catAx>
      <c:valAx>
        <c:axId val="560264832"/>
        <c:scaling>
          <c:orientation val="minMax"/>
        </c:scaling>
        <c:delete val="0"/>
        <c:axPos val="l"/>
        <c:majorGridlines/>
        <c:numFmt formatCode="0.00" sourceLinked="0"/>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bg-BG"/>
          </a:p>
        </c:txPr>
        <c:crossAx val="68474880"/>
        <c:crosses val="autoZero"/>
        <c:crossBetween val="between"/>
      </c:valAx>
      <c:spPr>
        <a:noFill/>
        <a:ln w="25400">
          <a:noFill/>
        </a:ln>
      </c:spPr>
    </c:plotArea>
    <c:legend>
      <c:legendPos val="r"/>
      <c:layout>
        <c:manualLayout>
          <c:xMode val="edge"/>
          <c:yMode val="edge"/>
          <c:x val="0.67007885622258678"/>
          <c:y val="0.38382376969056659"/>
          <c:w val="0.30814906186374924"/>
          <c:h val="0.33682494074886449"/>
        </c:manualLayout>
      </c:layout>
      <c:overlay val="0"/>
      <c:txPr>
        <a:bodyPr/>
        <a:lstStyle/>
        <a:p>
          <a:pPr>
            <a:defRPr sz="920" b="0" i="0" u="none" strike="noStrike" baseline="0">
              <a:solidFill>
                <a:srgbClr val="000000"/>
              </a:solidFill>
              <a:latin typeface="Calibri"/>
              <a:ea typeface="Calibri"/>
              <a:cs typeface="Calibri"/>
            </a:defRPr>
          </a:pPr>
          <a:endParaRPr lang="bg-BG"/>
        </a:p>
      </c:txPr>
    </c:legend>
    <c:plotVisOnly val="1"/>
    <c:dispBlanksAs val="gap"/>
    <c:showDLblsOverMax val="0"/>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chemeClr val="accent6">
          <a:lumMod val="75000"/>
        </a:schemeClr>
      </a:solidFill>
    </a:ln>
    <a:effectLst>
      <a:outerShdw blurRad="50800" dist="38100" dir="5400000" algn="t" rotWithShape="0">
        <a:schemeClr val="accent6">
          <a:lumMod val="20000"/>
          <a:lumOff val="80000"/>
          <a:alpha val="40000"/>
        </a:schemeClr>
      </a:outerShdw>
    </a:effectLst>
  </c:spPr>
  <c:txPr>
    <a:bodyPr/>
    <a:lstStyle/>
    <a:p>
      <a:pPr>
        <a:defRPr sz="1000" b="0" i="0" u="none" strike="noStrike" baseline="0">
          <a:solidFill>
            <a:srgbClr val="000000"/>
          </a:solidFill>
          <a:latin typeface="Calibri"/>
          <a:ea typeface="Calibri"/>
          <a:cs typeface="Calibri"/>
        </a:defRPr>
      </a:pPr>
      <a:endParaRPr lang="bg-BG"/>
    </a:p>
  </c:txPr>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bg-BG"/>
  <c:roundedCorners val="0"/>
  <mc:AlternateContent xmlns:mc="http://schemas.openxmlformats.org/markup-compatibility/2006">
    <mc:Choice xmlns:c14="http://schemas.microsoft.com/office/drawing/2007/8/2/chart" Requires="c14">
      <c14:style val="129"/>
    </mc:Choice>
    <mc:Fallback>
      <c:style val="29"/>
    </mc:Fallback>
  </mc:AlternateContent>
  <c:chart>
    <c:title>
      <c:tx>
        <c:rich>
          <a:bodyPr/>
          <a:lstStyle/>
          <a:p>
            <a:pPr>
              <a:defRPr sz="1050" b="1" i="0" u="none" strike="noStrike" baseline="0">
                <a:solidFill>
                  <a:srgbClr val="000000"/>
                </a:solidFill>
                <a:latin typeface="Calibri"/>
                <a:ea typeface="Calibri"/>
                <a:cs typeface="Calibri"/>
              </a:defRPr>
            </a:pPr>
            <a:r>
              <a:rPr lang="bg-BG"/>
              <a:t>Ликвидност</a:t>
            </a:r>
          </a:p>
        </c:rich>
      </c:tx>
      <c:overlay val="0"/>
    </c:title>
    <c:autoTitleDeleted val="0"/>
    <c:view3D>
      <c:rotX val="15"/>
      <c:hPercent val="83"/>
      <c:rotY val="20"/>
      <c:depthPercent val="100"/>
      <c:rAngAx val="1"/>
    </c:view3D>
    <c:floor>
      <c:thickness val="0"/>
    </c:floor>
    <c:sideWall>
      <c:thickness val="0"/>
    </c:sideWall>
    <c:backWall>
      <c:thickness val="0"/>
    </c:backWall>
    <c:plotArea>
      <c:layout/>
      <c:bar3DChart>
        <c:barDir val="col"/>
        <c:grouping val="clustered"/>
        <c:varyColors val="0"/>
        <c:ser>
          <c:idx val="0"/>
          <c:order val="0"/>
          <c:tx>
            <c:strRef>
              <c:f>'finansovi pokazateli'!$I$137</c:f>
              <c:strCache>
                <c:ptCount val="1"/>
                <c:pt idx="0">
                  <c:v>Коеф. на обща ликвидност (10/11)</c:v>
                </c:pt>
              </c:strCache>
            </c:strRef>
          </c:tx>
          <c:spPr>
            <a:solidFill>
              <a:schemeClr val="accent6">
                <a:lumMod val="50000"/>
              </a:schemeClr>
            </a:solidFill>
          </c:spPr>
          <c:invertIfNegative val="0"/>
          <c:cat>
            <c:numRef>
              <c:f>'finansovi pokazateli'!$J$136:$K$136</c:f>
              <c:numCache>
                <c:formatCode>General</c:formatCode>
                <c:ptCount val="2"/>
                <c:pt idx="0">
                  <c:v>2021</c:v>
                </c:pt>
                <c:pt idx="1">
                  <c:v>2020</c:v>
                </c:pt>
              </c:numCache>
            </c:numRef>
          </c:cat>
          <c:val>
            <c:numRef>
              <c:f>'finansovi pokazateli'!$J$137:$K$137</c:f>
              <c:numCache>
                <c:formatCode>0.000</c:formatCode>
                <c:ptCount val="2"/>
                <c:pt idx="0">
                  <c:v>1.909502262443439</c:v>
                </c:pt>
                <c:pt idx="1">
                  <c:v>0.64102564102564108</c:v>
                </c:pt>
              </c:numCache>
            </c:numRef>
          </c:val>
          <c:shape val="pyramid"/>
          <c:extLst xmlns:c16r2="http://schemas.microsoft.com/office/drawing/2015/06/chart">
            <c:ext xmlns:c16="http://schemas.microsoft.com/office/drawing/2014/chart" uri="{C3380CC4-5D6E-409C-BE32-E72D297353CC}">
              <c16:uniqueId val="{00000000-2BF4-46A8-B71A-FE47CF52910A}"/>
            </c:ext>
          </c:extLst>
        </c:ser>
        <c:ser>
          <c:idx val="1"/>
          <c:order val="1"/>
          <c:tx>
            <c:strRef>
              <c:f>'finansovi pokazateli'!$I$138</c:f>
              <c:strCache>
                <c:ptCount val="1"/>
                <c:pt idx="0">
                  <c:v>Коеф. на бърза ликвидност  (12+13+14)/11</c:v>
                </c:pt>
              </c:strCache>
            </c:strRef>
          </c:tx>
          <c:spPr>
            <a:solidFill>
              <a:schemeClr val="accent6">
                <a:lumMod val="75000"/>
              </a:schemeClr>
            </a:solidFill>
          </c:spPr>
          <c:invertIfNegative val="0"/>
          <c:cat>
            <c:numRef>
              <c:f>'finansovi pokazateli'!$J$136:$K$136</c:f>
              <c:numCache>
                <c:formatCode>General</c:formatCode>
                <c:ptCount val="2"/>
                <c:pt idx="0">
                  <c:v>2021</c:v>
                </c:pt>
                <c:pt idx="1">
                  <c:v>2020</c:v>
                </c:pt>
              </c:numCache>
            </c:numRef>
          </c:cat>
          <c:val>
            <c:numRef>
              <c:f>'finansovi pokazateli'!$J$138:$K$138</c:f>
              <c:numCache>
                <c:formatCode>0.000</c:formatCode>
                <c:ptCount val="2"/>
                <c:pt idx="0">
                  <c:v>1.83710407239819</c:v>
                </c:pt>
                <c:pt idx="1">
                  <c:v>0.5854700854700855</c:v>
                </c:pt>
              </c:numCache>
            </c:numRef>
          </c:val>
          <c:shape val="pyramid"/>
          <c:extLst xmlns:c16r2="http://schemas.microsoft.com/office/drawing/2015/06/chart">
            <c:ext xmlns:c16="http://schemas.microsoft.com/office/drawing/2014/chart" uri="{C3380CC4-5D6E-409C-BE32-E72D297353CC}">
              <c16:uniqueId val="{00000001-2BF4-46A8-B71A-FE47CF52910A}"/>
            </c:ext>
          </c:extLst>
        </c:ser>
        <c:ser>
          <c:idx val="2"/>
          <c:order val="2"/>
          <c:tx>
            <c:strRef>
              <c:f>'finansovi pokazateli'!$I$139</c:f>
              <c:strCache>
                <c:ptCount val="1"/>
                <c:pt idx="0">
                  <c:v>Коеф. на незабавна ликвидност (13+14)/11</c:v>
                </c:pt>
              </c:strCache>
            </c:strRef>
          </c:tx>
          <c:spPr>
            <a:solidFill>
              <a:schemeClr val="accent6">
                <a:lumMod val="60000"/>
                <a:lumOff val="40000"/>
              </a:schemeClr>
            </a:solidFill>
          </c:spPr>
          <c:invertIfNegative val="0"/>
          <c:cat>
            <c:numRef>
              <c:f>'finansovi pokazateli'!$J$136:$K$136</c:f>
              <c:numCache>
                <c:formatCode>General</c:formatCode>
                <c:ptCount val="2"/>
                <c:pt idx="0">
                  <c:v>2021</c:v>
                </c:pt>
                <c:pt idx="1">
                  <c:v>2020</c:v>
                </c:pt>
              </c:numCache>
            </c:numRef>
          </c:cat>
          <c:val>
            <c:numRef>
              <c:f>'finansovi pokazateli'!$J$139:$K$139</c:f>
              <c:numCache>
                <c:formatCode>0.000</c:formatCode>
                <c:ptCount val="2"/>
                <c:pt idx="0">
                  <c:v>1.1266968325791855</c:v>
                </c:pt>
                <c:pt idx="1">
                  <c:v>0.37606837606837606</c:v>
                </c:pt>
              </c:numCache>
            </c:numRef>
          </c:val>
          <c:shape val="pyramid"/>
          <c:extLst xmlns:c16r2="http://schemas.microsoft.com/office/drawing/2015/06/chart">
            <c:ext xmlns:c16="http://schemas.microsoft.com/office/drawing/2014/chart" uri="{C3380CC4-5D6E-409C-BE32-E72D297353CC}">
              <c16:uniqueId val="{00000002-2BF4-46A8-B71A-FE47CF52910A}"/>
            </c:ext>
          </c:extLst>
        </c:ser>
        <c:ser>
          <c:idx val="3"/>
          <c:order val="3"/>
          <c:tx>
            <c:strRef>
              <c:f>'finansovi pokazateli'!$I$140</c:f>
              <c:strCache>
                <c:ptCount val="1"/>
                <c:pt idx="0">
                  <c:v>Коеф. на абсолютна ликвидност (14/11)</c:v>
                </c:pt>
              </c:strCache>
            </c:strRef>
          </c:tx>
          <c:spPr>
            <a:solidFill>
              <a:schemeClr val="accent6">
                <a:lumMod val="40000"/>
                <a:lumOff val="60000"/>
              </a:schemeClr>
            </a:solidFill>
          </c:spPr>
          <c:invertIfNegative val="0"/>
          <c:cat>
            <c:numRef>
              <c:f>'finansovi pokazateli'!$J$136:$K$136</c:f>
              <c:numCache>
                <c:formatCode>General</c:formatCode>
                <c:ptCount val="2"/>
                <c:pt idx="0">
                  <c:v>2021</c:v>
                </c:pt>
                <c:pt idx="1">
                  <c:v>2020</c:v>
                </c:pt>
              </c:numCache>
            </c:numRef>
          </c:cat>
          <c:val>
            <c:numRef>
              <c:f>'finansovi pokazateli'!$J$140:$K$140</c:f>
              <c:numCache>
                <c:formatCode>0.000</c:formatCode>
                <c:ptCount val="2"/>
                <c:pt idx="0">
                  <c:v>1.1266968325791855</c:v>
                </c:pt>
                <c:pt idx="1">
                  <c:v>0.37606837606837606</c:v>
                </c:pt>
              </c:numCache>
            </c:numRef>
          </c:val>
          <c:shape val="pyramid"/>
          <c:extLst xmlns:c16r2="http://schemas.microsoft.com/office/drawing/2015/06/chart">
            <c:ext xmlns:c16="http://schemas.microsoft.com/office/drawing/2014/chart" uri="{C3380CC4-5D6E-409C-BE32-E72D297353CC}">
              <c16:uniqueId val="{00000003-2BF4-46A8-B71A-FE47CF52910A}"/>
            </c:ext>
          </c:extLst>
        </c:ser>
        <c:dLbls>
          <c:showLegendKey val="0"/>
          <c:showVal val="0"/>
          <c:showCatName val="0"/>
          <c:showSerName val="0"/>
          <c:showPercent val="0"/>
          <c:showBubbleSize val="0"/>
        </c:dLbls>
        <c:gapWidth val="150"/>
        <c:shape val="box"/>
        <c:axId val="96960000"/>
        <c:axId val="560766976"/>
        <c:axId val="0"/>
      </c:bar3DChart>
      <c:catAx>
        <c:axId val="96960000"/>
        <c:scaling>
          <c:orientation val="minMax"/>
        </c:scaling>
        <c:delete val="0"/>
        <c:axPos val="b"/>
        <c:numFmt formatCode="General" sourceLinked="1"/>
        <c:majorTickMark val="none"/>
        <c:minorTickMark val="none"/>
        <c:tickLblPos val="low"/>
        <c:txPr>
          <a:bodyPr rot="0" vert="horz"/>
          <a:lstStyle/>
          <a:p>
            <a:pPr>
              <a:defRPr sz="1000" b="0" i="0" u="none" strike="noStrike" baseline="0">
                <a:solidFill>
                  <a:srgbClr val="000000"/>
                </a:solidFill>
                <a:latin typeface="Calibri"/>
                <a:ea typeface="Calibri"/>
                <a:cs typeface="Calibri"/>
              </a:defRPr>
            </a:pPr>
            <a:endParaRPr lang="bg-BG"/>
          </a:p>
        </c:txPr>
        <c:crossAx val="560766976"/>
        <c:crosses val="autoZero"/>
        <c:auto val="1"/>
        <c:lblAlgn val="ctr"/>
        <c:lblOffset val="100"/>
        <c:tickLblSkip val="1"/>
        <c:tickMarkSkip val="1"/>
        <c:noMultiLvlLbl val="0"/>
      </c:catAx>
      <c:valAx>
        <c:axId val="560766976"/>
        <c:scaling>
          <c:orientation val="minMax"/>
        </c:scaling>
        <c:delete val="0"/>
        <c:axPos val="l"/>
        <c:majorGridlines/>
        <c:numFmt formatCode="0.00" sourceLinked="0"/>
        <c:majorTickMark val="none"/>
        <c:minorTickMark val="none"/>
        <c:tickLblPos val="nextTo"/>
        <c:txPr>
          <a:bodyPr rot="0" vert="horz"/>
          <a:lstStyle/>
          <a:p>
            <a:pPr>
              <a:defRPr sz="1000" b="0" i="0" u="none" strike="noStrike" baseline="0">
                <a:solidFill>
                  <a:srgbClr val="000000"/>
                </a:solidFill>
                <a:latin typeface="Calibri"/>
                <a:ea typeface="Calibri"/>
                <a:cs typeface="Calibri"/>
              </a:defRPr>
            </a:pPr>
            <a:endParaRPr lang="bg-BG"/>
          </a:p>
        </c:txPr>
        <c:crossAx val="96960000"/>
        <c:crosses val="autoZero"/>
        <c:crossBetween val="between"/>
      </c:valAx>
      <c:spPr>
        <a:noFill/>
        <a:ln w="25400">
          <a:noFill/>
        </a:ln>
      </c:spPr>
    </c:plotArea>
    <c:legend>
      <c:legendPos val="r"/>
      <c:layout>
        <c:manualLayout>
          <c:xMode val="edge"/>
          <c:yMode val="edge"/>
          <c:x val="0.6813085118968516"/>
          <c:y val="0.31593060706055337"/>
          <c:w val="0.29679319295077439"/>
          <c:h val="0.46767680415263013"/>
        </c:manualLayout>
      </c:layout>
      <c:overlay val="0"/>
      <c:txPr>
        <a:bodyPr/>
        <a:lstStyle/>
        <a:p>
          <a:pPr>
            <a:defRPr sz="920" b="0" i="0" u="none" strike="noStrike" baseline="0">
              <a:solidFill>
                <a:srgbClr val="000000"/>
              </a:solidFill>
              <a:latin typeface="Calibri"/>
              <a:ea typeface="Calibri"/>
              <a:cs typeface="Calibri"/>
            </a:defRPr>
          </a:pPr>
          <a:endParaRPr lang="bg-BG"/>
        </a:p>
      </c:txPr>
    </c:legend>
    <c:plotVisOnly val="1"/>
    <c:dispBlanksAs val="gap"/>
    <c:showDLblsOverMax val="0"/>
  </c:chart>
  <c:spPr>
    <a:gradFill>
      <a:gsLst>
        <a:gs pos="0">
          <a:srgbClr val="FBEAC7"/>
        </a:gs>
        <a:gs pos="17999">
          <a:srgbClr val="FEE7F2"/>
        </a:gs>
        <a:gs pos="36000">
          <a:srgbClr val="FAC77D"/>
        </a:gs>
        <a:gs pos="61000">
          <a:srgbClr val="FBA97D"/>
        </a:gs>
        <a:gs pos="82001">
          <a:srgbClr val="FBD49C"/>
        </a:gs>
        <a:gs pos="100000">
          <a:srgbClr val="FEE7F2"/>
        </a:gs>
      </a:gsLst>
      <a:lin ang="5400000" scaled="0"/>
    </a:gradFill>
    <a:ln>
      <a:solidFill>
        <a:schemeClr val="accent6">
          <a:lumMod val="75000"/>
        </a:schemeClr>
      </a:solidFill>
    </a:ln>
    <a:effectLst>
      <a:outerShdw blurRad="50800" dist="38100" dir="5400000" algn="t" rotWithShape="0">
        <a:schemeClr val="accent6">
          <a:lumMod val="20000"/>
          <a:lumOff val="80000"/>
          <a:alpha val="40000"/>
        </a:schemeClr>
      </a:outerShdw>
    </a:effectLst>
  </c:spPr>
  <c:txPr>
    <a:bodyPr/>
    <a:lstStyle/>
    <a:p>
      <a:pPr>
        <a:defRPr sz="1000" b="0" i="0" u="none" strike="noStrike" baseline="0">
          <a:solidFill>
            <a:srgbClr val="000000"/>
          </a:solidFill>
          <a:latin typeface="Calibri"/>
          <a:ea typeface="Calibri"/>
          <a:cs typeface="Calibri"/>
        </a:defRPr>
      </a:pPr>
      <a:endParaRPr lang="bg-BG"/>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2016</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3A51FA-F23C-452C-A87B-00587F958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11388</Words>
  <Characters>64913</Characters>
  <Application>Microsoft Office Word</Application>
  <DocSecurity>0</DocSecurity>
  <Lines>540</Lines>
  <Paragraphs>152</Paragraphs>
  <ScaleCrop>false</ScaleCrop>
  <HeadingPairs>
    <vt:vector size="4" baseType="variant">
      <vt:variant>
        <vt:lpstr>Title</vt:lpstr>
      </vt:variant>
      <vt:variant>
        <vt:i4>1</vt:i4>
      </vt:variant>
      <vt:variant>
        <vt:lpstr>Заглавие</vt:lpstr>
      </vt:variant>
      <vt:variant>
        <vt:i4>1</vt:i4>
      </vt:variant>
    </vt:vector>
  </HeadingPairs>
  <TitlesOfParts>
    <vt:vector size="2" baseType="lpstr">
      <vt:lpstr/>
      <vt:lpstr/>
    </vt:vector>
  </TitlesOfParts>
  <Company/>
  <LinksUpToDate>false</LinksUpToDate>
  <CharactersWithSpaces>76149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Mihaela</dc:creator>
  <cp:lastModifiedBy>Dilqna</cp:lastModifiedBy>
  <cp:revision>2</cp:revision>
  <cp:lastPrinted>2016-12-15T16:09:00Z</cp:lastPrinted>
  <dcterms:created xsi:type="dcterms:W3CDTF">2022-03-29T14:28:00Z</dcterms:created>
  <dcterms:modified xsi:type="dcterms:W3CDTF">2022-03-29T14:28:00Z</dcterms:modified>
</cp:coreProperties>
</file>