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A0" w:rsidRPr="00DC28A0" w:rsidRDefault="00DC28A0" w:rsidP="00DC28A0">
      <w:pPr>
        <w:ind w:left="3540"/>
        <w:rPr>
          <w:rFonts w:asciiTheme="majorHAnsi" w:hAnsiTheme="majorHAnsi"/>
          <w:b/>
        </w:rPr>
      </w:pPr>
      <w:r w:rsidRPr="00DC28A0">
        <w:rPr>
          <w:rFonts w:asciiTheme="majorHAnsi" w:hAnsiTheme="majorHAnsi"/>
          <w:b/>
        </w:rPr>
        <w:t>ОТЧЕТ</w:t>
      </w:r>
    </w:p>
    <w:p w:rsidR="00DC28A0" w:rsidRPr="00DC28A0" w:rsidRDefault="00DC28A0" w:rsidP="00DC28A0">
      <w:pPr>
        <w:rPr>
          <w:rFonts w:asciiTheme="majorHAnsi" w:hAnsiTheme="majorHAnsi"/>
          <w:b/>
        </w:rPr>
      </w:pPr>
      <w:r w:rsidRPr="00DC28A0">
        <w:rPr>
          <w:rFonts w:asciiTheme="majorHAnsi" w:hAnsiTheme="majorHAnsi"/>
          <w:b/>
        </w:rPr>
        <w:t xml:space="preserve">                </w:t>
      </w:r>
    </w:p>
    <w:p w:rsidR="00DC28A0" w:rsidRPr="00DC28A0" w:rsidRDefault="00DC28A0" w:rsidP="00DC28A0">
      <w:pPr>
        <w:rPr>
          <w:rFonts w:asciiTheme="majorHAnsi" w:hAnsiTheme="majorHAnsi"/>
          <w:b/>
        </w:rPr>
      </w:pPr>
      <w:r w:rsidRPr="00DC28A0">
        <w:rPr>
          <w:rFonts w:asciiTheme="majorHAnsi" w:hAnsiTheme="majorHAnsi"/>
          <w:b/>
        </w:rPr>
        <w:t xml:space="preserve">                      ЗА ДЕЙНОСТТА  НА „МБАЛ Д-Р ХР. СТАМБОЛСКИ „ ЕООД </w:t>
      </w:r>
    </w:p>
    <w:p w:rsidR="00DC28A0" w:rsidRPr="00DC28A0" w:rsidRDefault="00DC28A0" w:rsidP="00DC28A0">
      <w:pPr>
        <w:ind w:left="2124" w:firstLine="708"/>
        <w:rPr>
          <w:rFonts w:asciiTheme="majorHAnsi" w:hAnsiTheme="majorHAnsi"/>
          <w:b/>
        </w:rPr>
      </w:pPr>
    </w:p>
    <w:p w:rsidR="00DC28A0" w:rsidRPr="00DC28A0" w:rsidRDefault="00DC28A0" w:rsidP="00DC28A0">
      <w:pPr>
        <w:ind w:left="2124" w:firstLine="708"/>
        <w:rPr>
          <w:rFonts w:asciiTheme="majorHAnsi" w:hAnsiTheme="majorHAnsi"/>
          <w:b/>
        </w:rPr>
      </w:pPr>
      <w:r w:rsidRPr="00DC28A0">
        <w:rPr>
          <w:rFonts w:asciiTheme="majorHAnsi" w:hAnsiTheme="majorHAnsi"/>
          <w:b/>
        </w:rPr>
        <w:t xml:space="preserve">КЪМ </w:t>
      </w:r>
      <w:r w:rsidR="00AD0329">
        <w:rPr>
          <w:rFonts w:asciiTheme="majorHAnsi" w:hAnsiTheme="majorHAnsi"/>
          <w:b/>
          <w:lang w:val="en-US"/>
        </w:rPr>
        <w:t>30.09.</w:t>
      </w:r>
      <w:r w:rsidR="00AD0329">
        <w:rPr>
          <w:rFonts w:asciiTheme="majorHAnsi" w:hAnsiTheme="majorHAnsi"/>
          <w:b/>
        </w:rPr>
        <w:t>2</w:t>
      </w:r>
      <w:r w:rsidRPr="00DC28A0">
        <w:rPr>
          <w:rFonts w:asciiTheme="majorHAnsi" w:hAnsiTheme="majorHAnsi"/>
          <w:b/>
        </w:rPr>
        <w:t>01</w:t>
      </w:r>
      <w:r w:rsidRPr="00DC28A0">
        <w:rPr>
          <w:rFonts w:asciiTheme="majorHAnsi" w:hAnsiTheme="majorHAnsi"/>
          <w:b/>
          <w:lang w:val="en-US"/>
        </w:rPr>
        <w:t>6</w:t>
      </w:r>
      <w:r w:rsidRPr="00DC28A0">
        <w:rPr>
          <w:rFonts w:asciiTheme="majorHAnsi" w:hAnsiTheme="majorHAnsi"/>
          <w:b/>
        </w:rPr>
        <w:t xml:space="preserve"> ГОДИНА</w:t>
      </w:r>
    </w:p>
    <w:p w:rsidR="00DC28A0" w:rsidRPr="00DC28A0" w:rsidRDefault="00B76C90" w:rsidP="00B76C90">
      <w:pPr>
        <w:tabs>
          <w:tab w:val="left" w:pos="1211"/>
        </w:tabs>
        <w:suppressAutoHyphens/>
        <w:spacing w:before="240"/>
        <w:ind w:right="180"/>
        <w:rPr>
          <w:rFonts w:asciiTheme="majorHAnsi" w:hAnsiTheme="majorHAnsi" w:cs="Arial"/>
          <w:b/>
          <w:lang w:eastAsia="ar-SA"/>
        </w:rPr>
      </w:pPr>
      <w:r w:rsidRPr="00DC28A0">
        <w:rPr>
          <w:rFonts w:asciiTheme="majorHAnsi" w:hAnsiTheme="majorHAnsi" w:cs="Arial"/>
          <w:b/>
          <w:lang w:val="en-US" w:eastAsia="ar-SA"/>
        </w:rPr>
        <w:tab/>
      </w:r>
      <w:r w:rsidRPr="00DC28A0">
        <w:rPr>
          <w:rFonts w:asciiTheme="majorHAnsi" w:hAnsiTheme="majorHAnsi" w:cs="Arial"/>
          <w:b/>
          <w:lang w:val="en-US" w:eastAsia="ar-SA"/>
        </w:rPr>
        <w:tab/>
      </w:r>
      <w:r w:rsidRPr="00DC28A0">
        <w:rPr>
          <w:rFonts w:asciiTheme="majorHAnsi" w:hAnsiTheme="majorHAnsi" w:cs="Arial"/>
          <w:b/>
          <w:lang w:val="en-US" w:eastAsia="ar-SA"/>
        </w:rPr>
        <w:tab/>
      </w:r>
    </w:p>
    <w:p w:rsidR="00DC28A0" w:rsidRPr="00DC28A0" w:rsidRDefault="00DC28A0" w:rsidP="00DC28A0">
      <w:pPr>
        <w:numPr>
          <w:ilvl w:val="0"/>
          <w:numId w:val="9"/>
        </w:numPr>
        <w:spacing w:after="120"/>
        <w:rPr>
          <w:rFonts w:asciiTheme="majorHAnsi" w:hAnsiTheme="majorHAnsi" w:cs="Aparajita"/>
          <w:b/>
          <w:lang w:eastAsia="ar-SA"/>
        </w:rPr>
      </w:pPr>
      <w:r w:rsidRPr="00DC28A0">
        <w:rPr>
          <w:rFonts w:asciiTheme="majorHAnsi" w:hAnsiTheme="majorHAnsi" w:cs="Aparajita"/>
          <w:b/>
          <w:lang w:eastAsia="ar-SA"/>
        </w:rPr>
        <w:t>УЧРЕДЯВАНЕ И РЕГИСТРАЦИЯ</w:t>
      </w:r>
    </w:p>
    <w:p w:rsidR="00DC28A0" w:rsidRPr="00DC28A0" w:rsidRDefault="00DC28A0" w:rsidP="00DC28A0">
      <w:pPr>
        <w:spacing w:after="120"/>
        <w:ind w:left="-284" w:right="-426"/>
        <w:rPr>
          <w:rFonts w:asciiTheme="majorHAnsi" w:hAnsiTheme="majorHAnsi" w:cs="Aparajita"/>
          <w:b/>
          <w:lang w:eastAsia="ar-SA"/>
        </w:rPr>
      </w:pP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1B55E9">
        <w:rPr>
          <w:rFonts w:ascii="Bookman Old Style" w:hAnsi="Bookman Old Style"/>
        </w:rPr>
        <w:t>“</w:t>
      </w:r>
      <w:r w:rsidRPr="00DC28A0">
        <w:rPr>
          <w:rFonts w:asciiTheme="majorHAnsi" w:hAnsiTheme="majorHAnsi"/>
        </w:rPr>
        <w:t>МБАЛ КАЗАНЛЪК ” ЕООД  град Казанлък  е вписан в Търговския регистър на Старозагорски  окръжен съд по ф.д. №</w:t>
      </w:r>
      <w:r w:rsidRPr="00DC28A0">
        <w:rPr>
          <w:rFonts w:asciiTheme="majorHAnsi" w:hAnsiTheme="majorHAnsi"/>
          <w:lang w:val="ru-RU"/>
        </w:rPr>
        <w:t>1910/</w:t>
      </w:r>
      <w:r w:rsidRPr="00DC28A0">
        <w:rPr>
          <w:rFonts w:asciiTheme="majorHAnsi" w:hAnsiTheme="majorHAnsi"/>
        </w:rPr>
        <w:t>2000г.  Дружеството е регистрирано с капитал  945 хил.лв., който е внесен напълно.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  <w:color w:val="000000"/>
          <w:spacing w:val="-1"/>
        </w:rPr>
      </w:pPr>
      <w:r w:rsidRPr="00DC28A0">
        <w:rPr>
          <w:rFonts w:asciiTheme="majorHAnsi" w:hAnsiTheme="majorHAnsi"/>
          <w:color w:val="000000"/>
          <w:spacing w:val="-1"/>
        </w:rPr>
        <w:t>С Удостоверение № 20090814103622/14.08.2009 година  Агенция по вписванията регистрира в  търговския регистър  Еднолично дружество с ограничена отговорност „МБАЛ Д-р Хр. Стамболски” ЕООД.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  <w:color w:val="000000"/>
          <w:spacing w:val="-1"/>
        </w:rPr>
      </w:pPr>
      <w:r w:rsidRPr="00DC28A0">
        <w:rPr>
          <w:rFonts w:asciiTheme="majorHAnsi" w:hAnsiTheme="majorHAnsi"/>
          <w:color w:val="000000"/>
          <w:spacing w:val="-1"/>
        </w:rPr>
        <w:t>Към 3</w:t>
      </w:r>
      <w:r w:rsidR="00AD0329">
        <w:rPr>
          <w:rFonts w:asciiTheme="majorHAnsi" w:hAnsiTheme="majorHAnsi"/>
          <w:color w:val="000000"/>
          <w:spacing w:val="-1"/>
        </w:rPr>
        <w:t>0</w:t>
      </w:r>
      <w:r w:rsidRPr="00DC28A0">
        <w:rPr>
          <w:rFonts w:asciiTheme="majorHAnsi" w:hAnsiTheme="majorHAnsi"/>
          <w:color w:val="000000"/>
          <w:spacing w:val="-1"/>
        </w:rPr>
        <w:t>.</w:t>
      </w:r>
      <w:r w:rsidR="00AD0329">
        <w:rPr>
          <w:rFonts w:asciiTheme="majorHAnsi" w:hAnsiTheme="majorHAnsi"/>
          <w:color w:val="000000"/>
          <w:spacing w:val="-1"/>
        </w:rPr>
        <w:t>09</w:t>
      </w:r>
      <w:r w:rsidRPr="00DC28A0">
        <w:rPr>
          <w:rFonts w:asciiTheme="majorHAnsi" w:hAnsiTheme="majorHAnsi"/>
          <w:color w:val="000000"/>
          <w:spacing w:val="-1"/>
        </w:rPr>
        <w:t>.201</w:t>
      </w:r>
      <w:r w:rsidR="00AD0329">
        <w:rPr>
          <w:rFonts w:asciiTheme="majorHAnsi" w:hAnsiTheme="majorHAnsi"/>
          <w:color w:val="000000"/>
          <w:spacing w:val="-1"/>
        </w:rPr>
        <w:t>6</w:t>
      </w:r>
      <w:r w:rsidRPr="00DC28A0">
        <w:rPr>
          <w:rFonts w:asciiTheme="majorHAnsi" w:hAnsiTheme="majorHAnsi"/>
          <w:color w:val="000000"/>
          <w:spacing w:val="-1"/>
        </w:rPr>
        <w:t xml:space="preserve"> година  капиталът на дружеството е 6 762 979 лева /шест милиона, седемстотин шестдесет и две хиляди, деветстотин седемдесет и девет лева/ разпределен в 1 /един/ дял по 6 762 979 лева.</w:t>
      </w:r>
      <w:r w:rsidRPr="00DC28A0">
        <w:rPr>
          <w:rFonts w:asciiTheme="majorHAnsi" w:hAnsiTheme="majorHAnsi"/>
          <w:color w:val="000000"/>
          <w:spacing w:val="-1"/>
          <w:lang w:val="en-US"/>
        </w:rPr>
        <w:t xml:space="preserve"> Промените са вписани в </w:t>
      </w:r>
      <w:r w:rsidRPr="00DC28A0">
        <w:rPr>
          <w:rFonts w:asciiTheme="majorHAnsi" w:hAnsiTheme="majorHAnsi"/>
          <w:color w:val="000000"/>
          <w:spacing w:val="-1"/>
        </w:rPr>
        <w:t>Агенция по вписванията.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</w:rPr>
        <w:t xml:space="preserve"> Едноличен собственик на </w:t>
      </w:r>
      <w:r w:rsidRPr="00DC28A0">
        <w:rPr>
          <w:rFonts w:asciiTheme="majorHAnsi" w:hAnsiTheme="majorHAnsi"/>
          <w:color w:val="000000"/>
          <w:spacing w:val="-1"/>
        </w:rPr>
        <w:t>„МБАЛ Д-р Хр. Стамболски” ЕООД</w:t>
      </w:r>
      <w:r w:rsidRPr="00DC28A0">
        <w:rPr>
          <w:rFonts w:asciiTheme="majorHAnsi" w:hAnsiTheme="majorHAnsi"/>
        </w:rPr>
        <w:t xml:space="preserve"> е Община град Казанлък.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</w:rPr>
        <w:t>Съгласно Договор № Д 06-</w:t>
      </w:r>
      <w:r w:rsidR="00AD0329">
        <w:rPr>
          <w:rFonts w:asciiTheme="majorHAnsi" w:hAnsiTheme="majorHAnsi"/>
        </w:rPr>
        <w:t>88</w:t>
      </w:r>
      <w:r w:rsidRPr="00DC28A0">
        <w:rPr>
          <w:rFonts w:asciiTheme="majorHAnsi" w:hAnsiTheme="majorHAnsi"/>
        </w:rPr>
        <w:t xml:space="preserve"> от 1</w:t>
      </w:r>
      <w:r w:rsidR="00AD0329">
        <w:rPr>
          <w:rFonts w:asciiTheme="majorHAnsi" w:hAnsiTheme="majorHAnsi"/>
        </w:rPr>
        <w:t>2</w:t>
      </w:r>
      <w:r w:rsidRPr="00DC28A0">
        <w:rPr>
          <w:rFonts w:asciiTheme="majorHAnsi" w:hAnsiTheme="majorHAnsi"/>
        </w:rPr>
        <w:t>.05.201</w:t>
      </w:r>
      <w:r w:rsidR="00AD0329">
        <w:rPr>
          <w:rFonts w:asciiTheme="majorHAnsi" w:hAnsiTheme="majorHAnsi"/>
        </w:rPr>
        <w:t>6</w:t>
      </w:r>
      <w:r w:rsidRPr="00DC28A0">
        <w:rPr>
          <w:rFonts w:asciiTheme="majorHAnsi" w:hAnsiTheme="majorHAnsi"/>
        </w:rPr>
        <w:t xml:space="preserve"> година  дружеството се представлява и управлява от Д-р Кети Петрова Маналова-Владкова.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</w:rPr>
        <w:t xml:space="preserve">Предметът на дейност на </w:t>
      </w:r>
      <w:r w:rsidRPr="00DC28A0">
        <w:rPr>
          <w:rFonts w:asciiTheme="majorHAnsi" w:hAnsiTheme="majorHAnsi"/>
          <w:color w:val="000000"/>
          <w:spacing w:val="-1"/>
        </w:rPr>
        <w:t>„МБАЛ Д-р Хр. Стамболски” ЕООД</w:t>
      </w:r>
      <w:r w:rsidRPr="00DC28A0">
        <w:rPr>
          <w:rFonts w:asciiTheme="majorHAnsi" w:hAnsiTheme="majorHAnsi"/>
        </w:rPr>
        <w:t xml:space="preserve"> , определен със съдебното решение  е оказване на медицински услуги и е в съответствие с „Разрешение за осъществяване на лечебна дейност № МБ – 101/</w:t>
      </w:r>
      <w:r w:rsidRPr="00DC28A0">
        <w:rPr>
          <w:rFonts w:asciiTheme="majorHAnsi" w:hAnsiTheme="majorHAnsi"/>
          <w:lang w:val="en-US"/>
        </w:rPr>
        <w:t>1</w:t>
      </w:r>
      <w:r w:rsidR="00AD0329">
        <w:rPr>
          <w:rFonts w:asciiTheme="majorHAnsi" w:hAnsiTheme="majorHAnsi"/>
        </w:rPr>
        <w:t>5.08.2016</w:t>
      </w:r>
      <w:r w:rsidRPr="00DC28A0">
        <w:rPr>
          <w:rFonts w:asciiTheme="majorHAnsi" w:hAnsiTheme="majorHAnsi"/>
        </w:rPr>
        <w:t xml:space="preserve"> година” издадено от МЗ.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</w:rPr>
        <w:t>През отчетния период дружеството е реализирало своите приходи от основния си предмет на дейност.</w:t>
      </w:r>
    </w:p>
    <w:p w:rsidR="00DC28A0" w:rsidRP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</w:rPr>
        <w:t xml:space="preserve">Седалището и адресът на управление са в гр.Казанлък, ул.”Старозагорска ” № 16 тел. 0431- 6-53-00, </w:t>
      </w:r>
      <w:r w:rsidRPr="00DC28A0">
        <w:rPr>
          <w:rFonts w:asciiTheme="majorHAnsi" w:hAnsiTheme="majorHAnsi"/>
          <w:color w:val="000000"/>
        </w:rPr>
        <w:t>факс 0431- 5-56-65,</w:t>
      </w:r>
      <w:r w:rsidRPr="00DC28A0">
        <w:rPr>
          <w:rFonts w:asciiTheme="majorHAnsi" w:hAnsiTheme="majorHAnsi"/>
          <w:color w:val="000000"/>
          <w:lang w:val="en-US"/>
        </w:rPr>
        <w:t>e</w:t>
      </w:r>
      <w:r w:rsidRPr="00DC28A0">
        <w:rPr>
          <w:rFonts w:asciiTheme="majorHAnsi" w:hAnsiTheme="majorHAnsi"/>
          <w:color w:val="000000"/>
          <w:lang w:val="ru-RU"/>
        </w:rPr>
        <w:t>-</w:t>
      </w:r>
      <w:r w:rsidRPr="00DC28A0">
        <w:rPr>
          <w:rFonts w:asciiTheme="majorHAnsi" w:hAnsiTheme="majorHAnsi"/>
          <w:lang w:val="en-US"/>
        </w:rPr>
        <w:t>mail</w:t>
      </w:r>
      <w:r w:rsidRPr="00DC28A0">
        <w:rPr>
          <w:rFonts w:asciiTheme="majorHAnsi" w:hAnsiTheme="majorHAnsi"/>
          <w:lang w:val="ru-RU"/>
        </w:rPr>
        <w:t xml:space="preserve">:  </w:t>
      </w:r>
      <w:hyperlink r:id="rId7" w:history="1">
        <w:r w:rsidRPr="00DC28A0">
          <w:rPr>
            <w:rStyle w:val="a5"/>
            <w:rFonts w:asciiTheme="majorHAnsi" w:hAnsiTheme="majorHAnsi" w:cs="Aparajita"/>
            <w:lang w:val="en-US"/>
          </w:rPr>
          <w:t>mbalkazanlak</w:t>
        </w:r>
        <w:r w:rsidRPr="00DC28A0">
          <w:rPr>
            <w:rStyle w:val="a5"/>
            <w:rFonts w:asciiTheme="majorHAnsi" w:hAnsiTheme="majorHAnsi" w:cs="Aparajita"/>
            <w:lang w:val="ru-RU"/>
          </w:rPr>
          <w:t>@</w:t>
        </w:r>
        <w:r w:rsidRPr="00DC28A0">
          <w:rPr>
            <w:rStyle w:val="a5"/>
            <w:rFonts w:asciiTheme="majorHAnsi" w:hAnsiTheme="majorHAnsi" w:cs="Aparajita"/>
            <w:lang w:val="en-US"/>
          </w:rPr>
          <w:t>mail</w:t>
        </w:r>
        <w:r w:rsidRPr="00DC28A0">
          <w:rPr>
            <w:rStyle w:val="a5"/>
            <w:rFonts w:asciiTheme="majorHAnsi" w:hAnsiTheme="majorHAnsi" w:cs="Aparajita"/>
            <w:lang w:val="ru-RU"/>
          </w:rPr>
          <w:t>.</w:t>
        </w:r>
        <w:r w:rsidRPr="00DC28A0">
          <w:rPr>
            <w:rStyle w:val="a5"/>
            <w:rFonts w:asciiTheme="majorHAnsi" w:hAnsiTheme="majorHAnsi" w:cs="Aparajita"/>
            <w:lang w:val="en-US"/>
          </w:rPr>
          <w:t>bg</w:t>
        </w:r>
      </w:hyperlink>
      <w:r w:rsidRPr="00DC28A0">
        <w:rPr>
          <w:rFonts w:asciiTheme="majorHAnsi" w:hAnsiTheme="majorHAnsi"/>
          <w:lang w:val="ru-RU"/>
        </w:rPr>
        <w:t>.</w:t>
      </w:r>
    </w:p>
    <w:p w:rsidR="00DC28A0" w:rsidRDefault="00DC28A0" w:rsidP="00DC28A0">
      <w:pPr>
        <w:ind w:left="-284" w:right="-426"/>
        <w:rPr>
          <w:rFonts w:asciiTheme="majorHAnsi" w:hAnsiTheme="majorHAnsi"/>
        </w:rPr>
      </w:pPr>
      <w:r w:rsidRPr="00DC28A0">
        <w:rPr>
          <w:rFonts w:asciiTheme="majorHAnsi" w:hAnsiTheme="majorHAnsi"/>
          <w:lang w:val="ru-RU"/>
        </w:rPr>
        <w:t>Д</w:t>
      </w:r>
      <w:r w:rsidRPr="00DC28A0">
        <w:rPr>
          <w:rFonts w:asciiTheme="majorHAnsi" w:hAnsiTheme="majorHAnsi"/>
        </w:rPr>
        <w:t>ружеството е образувано за неопределен срок.</w:t>
      </w:r>
    </w:p>
    <w:p w:rsidR="00DD5257" w:rsidRDefault="00DD5257" w:rsidP="00DC28A0">
      <w:pPr>
        <w:ind w:left="-284" w:right="-426"/>
        <w:rPr>
          <w:rFonts w:asciiTheme="majorHAnsi" w:hAnsiTheme="majorHAnsi"/>
        </w:rPr>
      </w:pPr>
    </w:p>
    <w:p w:rsidR="00B76C90" w:rsidRPr="00DC28A0" w:rsidRDefault="00B76C90" w:rsidP="00DC28A0">
      <w:pPr>
        <w:pStyle w:val="a3"/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b/>
          <w:sz w:val="24"/>
          <w:szCs w:val="24"/>
        </w:rPr>
        <w:t>Съгласно СС 16 дълготрайните материални активи</w:t>
      </w:r>
      <w:r w:rsidRPr="00DC28A0">
        <w:rPr>
          <w:rFonts w:asciiTheme="majorHAnsi" w:hAnsiTheme="majorHAnsi" w:cs="Arial"/>
          <w:sz w:val="24"/>
          <w:szCs w:val="24"/>
        </w:rPr>
        <w:t xml:space="preserve"> са представени в баланса по цена на придобиване, образувана от покупната им стойност и допълнителните разходи, извършени за привеждането на актива в работно състояние за предвидената му употреба, намалена с натрупаните амортизации.</w:t>
      </w:r>
    </w:p>
    <w:p w:rsidR="00B76C90" w:rsidRPr="00DC28A0" w:rsidRDefault="00B76C90" w:rsidP="00DC28A0">
      <w:pPr>
        <w:pStyle w:val="a3"/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Pr="00DC28A0">
        <w:rPr>
          <w:rFonts w:asciiTheme="majorHAnsi" w:hAnsiTheme="majorHAnsi" w:cs="Arial"/>
          <w:sz w:val="24"/>
          <w:szCs w:val="24"/>
        </w:rPr>
        <w:t>Дружеството е определило праг на същественост в размер на 700 лева, под който придобитите активи независимо, че притежават характеристиката на дълготраен актив, се изписват като текущ разход в момента на придобиването им. Съответните активи се завеждат задбалансово.</w:t>
      </w:r>
    </w:p>
    <w:p w:rsidR="00B76C90" w:rsidRPr="00DC28A0" w:rsidRDefault="00B76C90" w:rsidP="00DC28A0">
      <w:pPr>
        <w:pStyle w:val="a3"/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Дълготрайни нематериални активи са представени в баланса по цена на придобиване, образувана от покупната им стойност и допълнителните разходи, извършени за привеждането на актива в работно състояние за предвидената му употреба, намалена с натрупаните амортизации.</w:t>
      </w:r>
    </w:p>
    <w:p w:rsidR="00B76C90" w:rsidRPr="00DC28A0" w:rsidRDefault="00B76C90" w:rsidP="00DC28A0">
      <w:pPr>
        <w:pStyle w:val="a3"/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b/>
          <w:sz w:val="24"/>
          <w:szCs w:val="24"/>
        </w:rPr>
        <w:t>Обезценка на дълготрайни материални и нематериални активи</w:t>
      </w:r>
      <w:r w:rsidRPr="00DC28A0">
        <w:rPr>
          <w:rFonts w:asciiTheme="majorHAnsi" w:hAnsiTheme="majorHAnsi" w:cs="Arial"/>
          <w:sz w:val="24"/>
          <w:szCs w:val="24"/>
        </w:rPr>
        <w:t xml:space="preserve">. Към </w:t>
      </w:r>
      <w:r w:rsidR="00AD0329">
        <w:rPr>
          <w:rFonts w:asciiTheme="majorHAnsi" w:hAnsiTheme="majorHAnsi" w:cs="Arial"/>
          <w:sz w:val="24"/>
          <w:szCs w:val="24"/>
        </w:rPr>
        <w:t xml:space="preserve">30.09.2016 година </w:t>
      </w:r>
      <w:r w:rsidRPr="00AD0329">
        <w:rPr>
          <w:rFonts w:asciiTheme="majorHAnsi" w:hAnsiTheme="majorHAnsi" w:cs="Arial"/>
          <w:sz w:val="24"/>
          <w:szCs w:val="24"/>
        </w:rPr>
        <w:t xml:space="preserve"> обезценка</w:t>
      </w:r>
      <w:r w:rsidRPr="00DC28A0">
        <w:rPr>
          <w:rFonts w:asciiTheme="majorHAnsi" w:hAnsiTheme="majorHAnsi" w:cs="Arial"/>
          <w:sz w:val="24"/>
          <w:szCs w:val="24"/>
        </w:rPr>
        <w:t xml:space="preserve"> на същите не е извършена, поради липса на индикации за обезценка.</w:t>
      </w:r>
    </w:p>
    <w:p w:rsidR="00B76C90" w:rsidRPr="00DC28A0" w:rsidRDefault="00B76C90" w:rsidP="00DC28A0">
      <w:pPr>
        <w:pStyle w:val="a3"/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b/>
          <w:sz w:val="24"/>
          <w:szCs w:val="24"/>
        </w:rPr>
        <w:lastRenderedPageBreak/>
        <w:t xml:space="preserve">Амортизация на дълготрайните материални и нематериални активи. </w:t>
      </w:r>
      <w:r w:rsidRPr="00DC28A0">
        <w:rPr>
          <w:rFonts w:asciiTheme="majorHAnsi" w:hAnsiTheme="majorHAnsi" w:cs="Arial"/>
          <w:sz w:val="24"/>
          <w:szCs w:val="24"/>
        </w:rPr>
        <w:t xml:space="preserve">Дружеството използва линеен метод на амортизация на дълготрайните материални активи. </w:t>
      </w:r>
    </w:p>
    <w:p w:rsidR="00B76C90" w:rsidRPr="00DC28A0" w:rsidRDefault="00B76C90" w:rsidP="00DC28A0">
      <w:pPr>
        <w:pStyle w:val="a3"/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През  201</w:t>
      </w:r>
      <w:r w:rsidR="00AD0329">
        <w:rPr>
          <w:rFonts w:asciiTheme="majorHAnsi" w:hAnsiTheme="majorHAnsi" w:cs="Arial"/>
          <w:sz w:val="24"/>
          <w:szCs w:val="24"/>
        </w:rPr>
        <w:t>6</w:t>
      </w:r>
      <w:r w:rsidRPr="00DC28A0">
        <w:rPr>
          <w:rFonts w:asciiTheme="majorHAnsi" w:hAnsiTheme="majorHAnsi" w:cs="Arial"/>
          <w:sz w:val="24"/>
          <w:szCs w:val="24"/>
        </w:rPr>
        <w:t xml:space="preserve"> г. за счетоводни и за данъчни цели са използвани следните амортизационни норми: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 xml:space="preserve">Сгради ….................................................... 2,5-4 %                                                 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Съоръжения................................................ 4 %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Машини и оборудване ............................. 5-</w:t>
      </w:r>
      <w:r w:rsidRPr="00DC28A0">
        <w:rPr>
          <w:rFonts w:asciiTheme="majorHAnsi" w:hAnsiTheme="majorHAnsi" w:cs="Arial"/>
          <w:sz w:val="24"/>
          <w:szCs w:val="24"/>
          <w:lang w:val="en-US"/>
        </w:rPr>
        <w:t>1</w:t>
      </w:r>
      <w:r w:rsidRPr="00DC28A0">
        <w:rPr>
          <w:rFonts w:asciiTheme="majorHAnsi" w:hAnsiTheme="majorHAnsi" w:cs="Arial"/>
          <w:sz w:val="24"/>
          <w:szCs w:val="24"/>
        </w:rPr>
        <w:t>0 %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Автомобили …........................................... 25 %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Компютри.................................................... 50 %</w:t>
      </w:r>
    </w:p>
    <w:p w:rsidR="00B76C90" w:rsidRPr="00DC28A0" w:rsidRDefault="00B76C90" w:rsidP="00DC28A0">
      <w:pPr>
        <w:pStyle w:val="a3"/>
        <w:numPr>
          <w:ilvl w:val="0"/>
          <w:numId w:val="1"/>
        </w:numPr>
        <w:tabs>
          <w:tab w:val="left" w:pos="1069"/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Други ……………………………………........ 15 %</w:t>
      </w:r>
    </w:p>
    <w:p w:rsidR="00B76C90" w:rsidRPr="00DC28A0" w:rsidRDefault="00B76C90" w:rsidP="00DC28A0">
      <w:pPr>
        <w:pStyle w:val="a3"/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sz w:val="24"/>
          <w:szCs w:val="24"/>
        </w:rPr>
        <w:t>Дълготрайните материални активи по отчетна стойност, натрупана амортизация и балансова стойност по групи сходни активи са следните:</w:t>
      </w:r>
    </w:p>
    <w:p w:rsidR="00B76C90" w:rsidRPr="00DC28A0" w:rsidRDefault="00B76C90" w:rsidP="00DC28A0">
      <w:pPr>
        <w:pStyle w:val="a3"/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jc w:val="center"/>
        <w:tblInd w:w="-160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124"/>
        <w:gridCol w:w="850"/>
        <w:gridCol w:w="992"/>
        <w:gridCol w:w="1276"/>
        <w:gridCol w:w="1528"/>
        <w:gridCol w:w="992"/>
        <w:gridCol w:w="1134"/>
        <w:gridCol w:w="1089"/>
      </w:tblGrid>
      <w:tr w:rsidR="00B76C90" w:rsidRPr="00DC28A0" w:rsidTr="001939B8">
        <w:trPr>
          <w:cantSplit/>
          <w:trHeight w:val="57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i/>
                <w:iCs/>
                <w:lang w:eastAsia="ar-SA"/>
              </w:rPr>
            </w:pPr>
            <w:r w:rsidRPr="00DC28A0">
              <w:rPr>
                <w:rFonts w:asciiTheme="majorHAnsi" w:hAnsiTheme="majorHAnsi" w:cs="Arial"/>
                <w:i/>
                <w:iCs/>
                <w:lang w:eastAsia="ar-SA"/>
              </w:rPr>
              <w:t>(</w:t>
            </w:r>
            <w:r w:rsidRPr="00DC28A0">
              <w:rPr>
                <w:rFonts w:asciiTheme="majorHAnsi" w:hAnsiTheme="majorHAnsi" w:cs="Arial"/>
                <w:i/>
                <w:iCs/>
                <w:lang w:val="en-US" w:eastAsia="ar-SA"/>
              </w:rPr>
              <w:t>в хил.</w:t>
            </w:r>
            <w:r w:rsidRPr="00DC28A0">
              <w:rPr>
                <w:rFonts w:asciiTheme="majorHAnsi" w:hAnsiTheme="majorHAnsi" w:cs="Arial"/>
                <w:i/>
                <w:iCs/>
                <w:lang w:eastAsia="ar-SA"/>
              </w:rPr>
              <w:t xml:space="preserve"> </w:t>
            </w:r>
            <w:r w:rsidRPr="00DC28A0">
              <w:rPr>
                <w:rFonts w:asciiTheme="majorHAnsi" w:hAnsiTheme="majorHAnsi" w:cs="Arial"/>
                <w:i/>
                <w:iCs/>
                <w:lang w:val="en-US" w:eastAsia="ar-SA"/>
              </w:rPr>
              <w:t>лв</w:t>
            </w:r>
            <w:r w:rsidRPr="00DC28A0">
              <w:rPr>
                <w:rFonts w:asciiTheme="majorHAnsi" w:hAnsiTheme="majorHAnsi" w:cs="Arial"/>
                <w:i/>
                <w:iCs/>
                <w:lang w:eastAsia="ar-SA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Земи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Сгради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Машини оборудв.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Съоръжения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Трансп.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Други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Cs/>
                <w:lang w:eastAsia="ar-SA"/>
              </w:rPr>
            </w:pPr>
            <w:r w:rsidRPr="00DC28A0">
              <w:rPr>
                <w:rFonts w:asciiTheme="majorHAnsi" w:hAnsiTheme="majorHAnsi" w:cs="Arial"/>
                <w:bCs/>
                <w:lang w:eastAsia="ar-SA"/>
              </w:rPr>
              <w:t>Общо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998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Отчетна стойност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Към.01.01.201</w:t>
            </w:r>
            <w:r w:rsidR="00DC28A0">
              <w:rPr>
                <w:rFonts w:asciiTheme="majorHAnsi" w:hAnsiTheme="majorHAnsi" w:cs="Arial"/>
                <w:lang w:eastAsia="ar-SA"/>
              </w:rPr>
              <w:t>6</w:t>
            </w:r>
            <w:r w:rsidRPr="00DC28A0">
              <w:rPr>
                <w:rFonts w:asciiTheme="majorHAnsi" w:hAnsiTheme="majorHAnsi" w:cs="Arial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939B8" w:rsidP="001939B8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939B8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4276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939B8" w:rsidP="001939B8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4604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281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1939B8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14</w:t>
            </w:r>
            <w:r w:rsidR="001939B8">
              <w:rPr>
                <w:rFonts w:asciiTheme="majorHAnsi" w:hAnsiTheme="majorHAnsi" w:cs="Arial"/>
                <w:lang w:eastAsia="ar-SA"/>
              </w:rPr>
              <w:t>5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1939B8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9453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Придобити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AD0329" w:rsidP="001747A4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</w:t>
            </w:r>
            <w:r w:rsidR="001747A4">
              <w:rPr>
                <w:rFonts w:asciiTheme="majorHAnsi" w:hAnsiTheme="majorHAnsi" w:cs="Arial"/>
                <w:lang w:eastAsia="ar-SA"/>
              </w:rPr>
              <w:t>6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AD0329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AD0329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2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1747A4" w:rsidP="001747A4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50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Отписани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31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 xml:space="preserve">Към </w:t>
            </w:r>
            <w:r w:rsidR="001747A4">
              <w:rPr>
                <w:rFonts w:asciiTheme="majorHAnsi" w:hAnsiTheme="majorHAnsi" w:cs="Arial"/>
                <w:lang w:eastAsia="ar-SA"/>
              </w:rPr>
              <w:t>30.09.2016</w:t>
            </w:r>
            <w:r w:rsidRPr="00DC28A0">
              <w:rPr>
                <w:rFonts w:asciiTheme="majorHAnsi" w:hAnsiTheme="majorHAnsi" w:cs="Arial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4276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1747A4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4589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147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1747A4" w:rsidP="001747A4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9472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998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Натрупана амортизация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Към 01.01.201</w:t>
            </w:r>
            <w:r w:rsidR="00DC28A0">
              <w:rPr>
                <w:rFonts w:asciiTheme="majorHAnsi" w:hAnsiTheme="majorHAnsi" w:cs="Arial"/>
                <w:lang w:eastAsia="ar-SA"/>
              </w:rPr>
              <w:t>6</w:t>
            </w:r>
            <w:r w:rsidRPr="00DC28A0">
              <w:rPr>
                <w:rFonts w:asciiTheme="majorHAnsi" w:hAnsiTheme="majorHAnsi" w:cs="Arial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456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1781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69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C75FCE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12</w:t>
            </w:r>
            <w:r w:rsidR="00C75FCE">
              <w:rPr>
                <w:rFonts w:asciiTheme="majorHAnsi" w:hAnsiTheme="majorHAnsi" w:cs="Arial"/>
                <w:lang w:eastAsia="ar-SA"/>
              </w:rPr>
              <w:t>6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2507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Начислена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89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191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6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297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>Отписана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31</w:t>
            </w:r>
          </w:p>
        </w:tc>
        <w:tc>
          <w:tcPr>
            <w:tcW w:w="1528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1089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31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 w:rsidRPr="00DC28A0">
              <w:rPr>
                <w:rFonts w:asciiTheme="majorHAnsi" w:hAnsiTheme="majorHAnsi" w:cs="Arial"/>
                <w:lang w:eastAsia="ar-SA"/>
              </w:rPr>
              <w:t xml:space="preserve">Към </w:t>
            </w:r>
            <w:r w:rsidR="001747A4">
              <w:rPr>
                <w:rFonts w:asciiTheme="majorHAnsi" w:hAnsiTheme="majorHAnsi" w:cs="Arial"/>
                <w:lang w:eastAsia="ar-SA"/>
              </w:rPr>
              <w:t>30.09.2016</w:t>
            </w:r>
            <w:r w:rsidRPr="00DC28A0">
              <w:rPr>
                <w:rFonts w:asciiTheme="majorHAnsi" w:hAnsiTheme="majorHAnsi" w:cs="Arial"/>
                <w:lang w:eastAsia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1941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13</w:t>
            </w:r>
            <w:r w:rsidR="00C75FCE">
              <w:rPr>
                <w:rFonts w:asciiTheme="majorHAnsi" w:hAnsiTheme="majorHAnsi" w:cs="Arial"/>
                <w:lang w:eastAsia="ar-SA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lang w:eastAsia="ar-SA"/>
              </w:rPr>
            </w:pPr>
            <w:r>
              <w:rPr>
                <w:rFonts w:asciiTheme="majorHAnsi" w:hAnsiTheme="majorHAnsi" w:cs="Arial"/>
                <w:lang w:eastAsia="ar-SA"/>
              </w:rPr>
              <w:t>2773</w:t>
            </w:r>
          </w:p>
        </w:tc>
      </w:tr>
      <w:tr w:rsidR="00B76C90" w:rsidRPr="00DC28A0" w:rsidTr="001939B8">
        <w:trPr>
          <w:cantSplit/>
          <w:trHeight w:val="375"/>
          <w:jc w:val="center"/>
        </w:trPr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B76C90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 w:rsidRPr="00DC28A0">
              <w:rPr>
                <w:rFonts w:asciiTheme="majorHAnsi" w:hAnsiTheme="majorHAnsi" w:cs="Arial"/>
                <w:b/>
                <w:lang w:eastAsia="ar-SA"/>
              </w:rPr>
              <w:t>Баланс.стойност към</w:t>
            </w:r>
            <w:r w:rsidR="001747A4">
              <w:rPr>
                <w:rFonts w:asciiTheme="majorHAnsi" w:hAnsiTheme="majorHAnsi" w:cs="Arial"/>
                <w:b/>
                <w:lang w:eastAsia="ar-SA"/>
              </w:rPr>
              <w:t xml:space="preserve"> 30.09.2016</w:t>
            </w:r>
            <w:r w:rsidRPr="00DC28A0">
              <w:rPr>
                <w:rFonts w:asciiTheme="majorHAnsi" w:hAnsiTheme="majorHAnsi" w:cs="Arial"/>
                <w:b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3731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2648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236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1747A4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15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C90" w:rsidRPr="00DC28A0" w:rsidRDefault="00C75FCE" w:rsidP="00DC28A0">
            <w:pPr>
              <w:snapToGrid w:val="0"/>
              <w:ind w:left="-426"/>
              <w:jc w:val="right"/>
              <w:rPr>
                <w:rFonts w:asciiTheme="majorHAnsi" w:hAnsiTheme="majorHAnsi" w:cs="Arial"/>
                <w:b/>
                <w:lang w:eastAsia="ar-SA"/>
              </w:rPr>
            </w:pPr>
            <w:r>
              <w:rPr>
                <w:rFonts w:asciiTheme="majorHAnsi" w:hAnsiTheme="majorHAnsi" w:cs="Arial"/>
                <w:b/>
                <w:lang w:eastAsia="ar-SA"/>
              </w:rPr>
              <w:t>6699</w:t>
            </w:r>
          </w:p>
        </w:tc>
      </w:tr>
    </w:tbl>
    <w:p w:rsidR="00B76C90" w:rsidRPr="00C75FCE" w:rsidRDefault="00B76C90" w:rsidP="00DC28A0">
      <w:pPr>
        <w:pStyle w:val="3"/>
        <w:ind w:left="-426" w:right="322" w:firstLine="0"/>
        <w:rPr>
          <w:rFonts w:asciiTheme="majorHAnsi" w:hAnsiTheme="majorHAnsi" w:cs="Arial"/>
          <w:szCs w:val="24"/>
        </w:rPr>
      </w:pPr>
      <w:r w:rsidRPr="00C75FCE">
        <w:rPr>
          <w:rFonts w:asciiTheme="majorHAnsi" w:hAnsiTheme="majorHAnsi" w:cs="Arial"/>
          <w:szCs w:val="24"/>
        </w:rPr>
        <w:t>Към 3</w:t>
      </w:r>
      <w:r w:rsidR="00C75FCE">
        <w:rPr>
          <w:rFonts w:asciiTheme="majorHAnsi" w:hAnsiTheme="majorHAnsi" w:cs="Arial"/>
          <w:szCs w:val="24"/>
        </w:rPr>
        <w:t>0.09.2016</w:t>
      </w:r>
      <w:r w:rsidRPr="00C75FCE">
        <w:rPr>
          <w:rFonts w:asciiTheme="majorHAnsi" w:hAnsiTheme="majorHAnsi" w:cs="Arial"/>
          <w:szCs w:val="24"/>
        </w:rPr>
        <w:t xml:space="preserve"> г. дружеството притежава нематериални активи с отчетна стойност в размер на 35 хил.лв., които в преобладаващата  част представляват софтуер и към </w:t>
      </w:r>
      <w:r w:rsidR="00C75FCE" w:rsidRPr="00C75FCE">
        <w:rPr>
          <w:rFonts w:asciiTheme="majorHAnsi" w:hAnsiTheme="majorHAnsi" w:cs="Arial"/>
          <w:szCs w:val="24"/>
        </w:rPr>
        <w:t>3</w:t>
      </w:r>
      <w:r w:rsidR="00C75FCE">
        <w:rPr>
          <w:rFonts w:asciiTheme="majorHAnsi" w:hAnsiTheme="majorHAnsi" w:cs="Arial"/>
          <w:szCs w:val="24"/>
        </w:rPr>
        <w:t>0.09.2016</w:t>
      </w:r>
      <w:r w:rsidR="00C75FCE" w:rsidRPr="00C75FCE">
        <w:rPr>
          <w:rFonts w:asciiTheme="majorHAnsi" w:hAnsiTheme="majorHAnsi" w:cs="Arial"/>
          <w:szCs w:val="24"/>
        </w:rPr>
        <w:t xml:space="preserve"> </w:t>
      </w:r>
      <w:r w:rsidRPr="00C75FCE">
        <w:rPr>
          <w:rFonts w:asciiTheme="majorHAnsi" w:hAnsiTheme="majorHAnsi" w:cs="Arial"/>
          <w:szCs w:val="24"/>
        </w:rPr>
        <w:t xml:space="preserve">година са с нулева балансова стойност. </w:t>
      </w:r>
    </w:p>
    <w:p w:rsidR="00F45F76" w:rsidRDefault="00F45F76" w:rsidP="00DC28A0">
      <w:pPr>
        <w:pStyle w:val="a3"/>
        <w:tabs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C75FCE" w:rsidRDefault="00B76C90" w:rsidP="00DC28A0">
      <w:pPr>
        <w:pStyle w:val="a3"/>
        <w:tabs>
          <w:tab w:val="left" w:pos="8591"/>
        </w:tabs>
        <w:spacing w:after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F45F76">
        <w:rPr>
          <w:rFonts w:asciiTheme="majorHAnsi" w:hAnsiTheme="majorHAnsi" w:cs="Arial"/>
          <w:b/>
          <w:sz w:val="24"/>
          <w:szCs w:val="24"/>
        </w:rPr>
        <w:t>Отсрочени данъци</w:t>
      </w:r>
      <w:r w:rsidRPr="00C75FCE">
        <w:rPr>
          <w:rFonts w:asciiTheme="majorHAnsi" w:hAnsiTheme="majorHAnsi" w:cs="Arial"/>
          <w:sz w:val="24"/>
          <w:szCs w:val="24"/>
        </w:rPr>
        <w:t xml:space="preserve"> са в  размер на 113  хил.лева и представляват актив по отсрочени данъци.</w:t>
      </w:r>
      <w:r w:rsidRPr="00C75FCE">
        <w:rPr>
          <w:rFonts w:asciiTheme="majorHAnsi" w:hAnsiTheme="majorHAnsi" w:cs="Arial"/>
          <w:sz w:val="24"/>
          <w:szCs w:val="24"/>
        </w:rPr>
        <w:tab/>
      </w:r>
    </w:p>
    <w:p w:rsidR="00B76C90" w:rsidRPr="00DC28A0" w:rsidRDefault="00B76C90" w:rsidP="00DC28A0">
      <w:pPr>
        <w:pStyle w:val="a3"/>
        <w:tabs>
          <w:tab w:val="left" w:pos="1391"/>
        </w:tabs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b/>
          <w:sz w:val="24"/>
          <w:szCs w:val="24"/>
        </w:rPr>
        <w:t>Материалите</w:t>
      </w:r>
      <w:r w:rsidRPr="00DC28A0">
        <w:rPr>
          <w:rFonts w:asciiTheme="majorHAnsi" w:hAnsiTheme="majorHAnsi" w:cs="Arial"/>
          <w:sz w:val="24"/>
          <w:szCs w:val="24"/>
        </w:rPr>
        <w:t xml:space="preserve"> са отчетени по цена на придобиване, формирана от покупната цена плюс всички преки разходи за доставката им в дружеството, съгласно действащите стандарти.</w:t>
      </w:r>
    </w:p>
    <w:p w:rsidR="00B76C90" w:rsidRPr="00DC28A0" w:rsidRDefault="00B76C90" w:rsidP="00DC28A0">
      <w:pPr>
        <w:ind w:left="-426" w:right="180"/>
        <w:rPr>
          <w:rFonts w:asciiTheme="majorHAnsi" w:hAnsiTheme="majorHAnsi" w:cs="Arial"/>
        </w:rPr>
      </w:pPr>
      <w:r w:rsidRPr="00DC28A0">
        <w:rPr>
          <w:rFonts w:asciiTheme="majorHAnsi" w:hAnsiTheme="majorHAnsi" w:cs="Arial"/>
        </w:rPr>
        <w:t>Текущите активи, освен медикаменти,  при тяхното потребление се изписват по среднопретеглената стойност.</w:t>
      </w:r>
    </w:p>
    <w:p w:rsidR="00B76C90" w:rsidRPr="00DC28A0" w:rsidRDefault="00B76C90" w:rsidP="00DC28A0">
      <w:pPr>
        <w:ind w:left="-426" w:right="180"/>
        <w:rPr>
          <w:rFonts w:asciiTheme="majorHAnsi" w:hAnsiTheme="majorHAnsi"/>
          <w:lang w:val="ru-RU"/>
        </w:rPr>
      </w:pPr>
      <w:r w:rsidRPr="00DC28A0">
        <w:rPr>
          <w:rFonts w:asciiTheme="majorHAnsi" w:hAnsiTheme="majorHAnsi"/>
        </w:rPr>
        <w:t xml:space="preserve"> Медикаменти се отписват по метода на </w:t>
      </w:r>
      <w:r w:rsidRPr="00DC28A0">
        <w:rPr>
          <w:rFonts w:asciiTheme="majorHAnsi" w:hAnsiTheme="majorHAnsi"/>
          <w:lang w:val="ru-RU"/>
        </w:rPr>
        <w:t xml:space="preserve"> първа входяща - първа изходяща (</w:t>
      </w:r>
      <w:r w:rsidRPr="00DC28A0">
        <w:rPr>
          <w:rFonts w:asciiTheme="majorHAnsi" w:hAnsiTheme="majorHAnsi"/>
        </w:rPr>
        <w:t>fifo</w:t>
      </w:r>
      <w:r w:rsidRPr="00DC28A0">
        <w:rPr>
          <w:rFonts w:asciiTheme="majorHAnsi" w:hAnsiTheme="majorHAnsi"/>
          <w:lang w:val="ru-RU"/>
        </w:rPr>
        <w:t>) стойност, при който:</w:t>
      </w:r>
    </w:p>
    <w:p w:rsidR="00B76C90" w:rsidRPr="00DC28A0" w:rsidRDefault="00B76C90" w:rsidP="00DC28A0">
      <w:pPr>
        <w:ind w:left="-426" w:right="180"/>
        <w:rPr>
          <w:rFonts w:asciiTheme="majorHAnsi" w:hAnsiTheme="majorHAnsi"/>
        </w:rPr>
      </w:pPr>
      <w:r w:rsidRPr="00DC28A0">
        <w:rPr>
          <w:rFonts w:asciiTheme="majorHAnsi" w:hAnsiTheme="majorHAnsi"/>
          <w:lang w:val="ru-RU"/>
        </w:rPr>
        <w:t xml:space="preserve">- </w:t>
      </w:r>
      <w:r w:rsidRPr="00DC28A0">
        <w:rPr>
          <w:rFonts w:asciiTheme="majorHAnsi" w:hAnsiTheme="majorHAnsi"/>
        </w:rPr>
        <w:t>медикаментите</w:t>
      </w:r>
      <w:r w:rsidRPr="00DC28A0">
        <w:rPr>
          <w:rFonts w:asciiTheme="majorHAnsi" w:hAnsiTheme="majorHAnsi"/>
          <w:lang w:val="ru-RU"/>
        </w:rPr>
        <w:t xml:space="preserve">, които са закупени първи, се изписват първи при </w:t>
      </w:r>
      <w:r w:rsidRPr="00DC28A0">
        <w:rPr>
          <w:rFonts w:asciiTheme="majorHAnsi" w:hAnsiTheme="majorHAnsi"/>
        </w:rPr>
        <w:t>тяхното потребление</w:t>
      </w:r>
      <w:r w:rsidRPr="00DC28A0">
        <w:rPr>
          <w:rFonts w:asciiTheme="majorHAnsi" w:hAnsiTheme="majorHAnsi"/>
          <w:lang w:val="ru-RU"/>
        </w:rPr>
        <w:t xml:space="preserve"> и при други намаления</w:t>
      </w:r>
      <w:r w:rsidRPr="00DC28A0">
        <w:rPr>
          <w:rFonts w:asciiTheme="majorHAnsi" w:hAnsiTheme="majorHAnsi"/>
        </w:rPr>
        <w:t>.</w:t>
      </w:r>
    </w:p>
    <w:p w:rsidR="00B76C90" w:rsidRPr="00DC28A0" w:rsidRDefault="00B76C90" w:rsidP="00DC28A0">
      <w:pPr>
        <w:ind w:left="-426" w:right="180"/>
        <w:rPr>
          <w:rFonts w:asciiTheme="majorHAnsi" w:hAnsiTheme="majorHAnsi"/>
        </w:rPr>
      </w:pPr>
      <w:r w:rsidRPr="00DC28A0">
        <w:rPr>
          <w:rFonts w:asciiTheme="majorHAnsi" w:hAnsiTheme="majorHAnsi"/>
          <w:lang w:val="ru-RU"/>
        </w:rPr>
        <w:lastRenderedPageBreak/>
        <w:t>Оставащите в края на отчетния период м</w:t>
      </w:r>
      <w:r w:rsidRPr="00DC28A0">
        <w:rPr>
          <w:rFonts w:asciiTheme="majorHAnsi" w:hAnsiTheme="majorHAnsi"/>
        </w:rPr>
        <w:t>едикаменти са</w:t>
      </w:r>
      <w:r w:rsidRPr="00DC28A0">
        <w:rPr>
          <w:rFonts w:asciiTheme="majorHAnsi" w:hAnsiTheme="majorHAnsi"/>
          <w:lang w:val="ru-RU"/>
        </w:rPr>
        <w:t xml:space="preserve"> тези, които са закупени или произведени последни</w:t>
      </w:r>
      <w:r w:rsidRPr="00DC28A0">
        <w:rPr>
          <w:rFonts w:asciiTheme="majorHAnsi" w:hAnsiTheme="majorHAnsi"/>
        </w:rPr>
        <w:t>.</w:t>
      </w:r>
    </w:p>
    <w:p w:rsidR="00B76C90" w:rsidRPr="00C75FCE" w:rsidRDefault="00B76C90" w:rsidP="00DC28A0">
      <w:pPr>
        <w:pStyle w:val="a3"/>
        <w:tabs>
          <w:tab w:val="left" w:pos="1391"/>
        </w:tabs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Към </w:t>
      </w:r>
      <w:r w:rsidR="00C75FCE" w:rsidRPr="00C75FCE">
        <w:rPr>
          <w:rFonts w:asciiTheme="majorHAnsi" w:hAnsiTheme="majorHAnsi" w:cs="Arial"/>
          <w:szCs w:val="24"/>
        </w:rPr>
        <w:t>3</w:t>
      </w:r>
      <w:r w:rsidR="00C75FCE">
        <w:rPr>
          <w:rFonts w:asciiTheme="majorHAnsi" w:hAnsiTheme="majorHAnsi" w:cs="Arial"/>
          <w:szCs w:val="24"/>
        </w:rPr>
        <w:t>0.09.2016</w:t>
      </w:r>
      <w:r w:rsidR="00C75FCE" w:rsidRPr="00C75FCE">
        <w:rPr>
          <w:rFonts w:asciiTheme="majorHAnsi" w:hAnsiTheme="majorHAnsi" w:cs="Arial"/>
          <w:szCs w:val="24"/>
        </w:rPr>
        <w:t xml:space="preserve"> </w:t>
      </w:r>
      <w:r w:rsidRPr="00C75FCE">
        <w:rPr>
          <w:rFonts w:asciiTheme="majorHAnsi" w:hAnsiTheme="majorHAnsi" w:cs="Arial"/>
          <w:sz w:val="24"/>
          <w:szCs w:val="24"/>
        </w:rPr>
        <w:t>година наличности</w:t>
      </w:r>
      <w:r w:rsidR="00C75FCE">
        <w:rPr>
          <w:rFonts w:asciiTheme="majorHAnsi" w:hAnsiTheme="majorHAnsi" w:cs="Arial"/>
          <w:sz w:val="24"/>
          <w:szCs w:val="24"/>
        </w:rPr>
        <w:t xml:space="preserve"> </w:t>
      </w:r>
      <w:r w:rsidR="00C75FCE" w:rsidRPr="00C75FCE">
        <w:rPr>
          <w:rFonts w:asciiTheme="majorHAnsi" w:hAnsiTheme="majorHAnsi" w:cs="Arial"/>
          <w:sz w:val="24"/>
          <w:szCs w:val="24"/>
        </w:rPr>
        <w:t>на материални</w:t>
      </w:r>
      <w:r w:rsidR="00C75FCE">
        <w:rPr>
          <w:rFonts w:asciiTheme="majorHAnsi" w:hAnsiTheme="majorHAnsi" w:cs="Arial"/>
          <w:sz w:val="24"/>
          <w:szCs w:val="24"/>
        </w:rPr>
        <w:t>те</w:t>
      </w:r>
      <w:r w:rsidR="00C75FCE" w:rsidRPr="00C75FCE">
        <w:rPr>
          <w:rFonts w:asciiTheme="majorHAnsi" w:hAnsiTheme="majorHAnsi" w:cs="Arial"/>
          <w:sz w:val="24"/>
          <w:szCs w:val="24"/>
        </w:rPr>
        <w:t xml:space="preserve"> запаси </w:t>
      </w:r>
      <w:r w:rsidRPr="00C75FCE">
        <w:rPr>
          <w:rFonts w:asciiTheme="majorHAnsi" w:hAnsiTheme="majorHAnsi" w:cs="Arial"/>
          <w:sz w:val="24"/>
          <w:szCs w:val="24"/>
        </w:rPr>
        <w:t>са следните:</w:t>
      </w:r>
    </w:p>
    <w:p w:rsidR="00B76C90" w:rsidRPr="00C75FCE" w:rsidRDefault="00B76C90" w:rsidP="00DC28A0">
      <w:pPr>
        <w:pStyle w:val="a3"/>
        <w:numPr>
          <w:ilvl w:val="0"/>
          <w:numId w:val="6"/>
        </w:numPr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Медикаменти -  </w:t>
      </w:r>
      <w:r w:rsidR="00C75FCE">
        <w:rPr>
          <w:rFonts w:asciiTheme="majorHAnsi" w:hAnsiTheme="majorHAnsi" w:cs="Arial"/>
          <w:sz w:val="24"/>
          <w:szCs w:val="24"/>
        </w:rPr>
        <w:t>64</w:t>
      </w:r>
      <w:r w:rsidRPr="00C75FCE">
        <w:rPr>
          <w:rFonts w:asciiTheme="majorHAnsi" w:hAnsiTheme="majorHAnsi" w:cs="Arial"/>
          <w:sz w:val="24"/>
          <w:szCs w:val="24"/>
        </w:rPr>
        <w:t xml:space="preserve"> х. лв</w:t>
      </w:r>
    </w:p>
    <w:p w:rsidR="00B76C90" w:rsidRPr="00C75FCE" w:rsidRDefault="00B76C90" w:rsidP="00DC28A0">
      <w:pPr>
        <w:pStyle w:val="a3"/>
        <w:numPr>
          <w:ilvl w:val="0"/>
          <w:numId w:val="6"/>
        </w:numPr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Консумативи – </w:t>
      </w:r>
      <w:r w:rsidR="00C75FCE">
        <w:rPr>
          <w:rFonts w:asciiTheme="majorHAnsi" w:hAnsiTheme="majorHAnsi" w:cs="Arial"/>
          <w:sz w:val="24"/>
          <w:szCs w:val="24"/>
        </w:rPr>
        <w:t>11</w:t>
      </w:r>
      <w:r w:rsidRPr="00C75FCE">
        <w:rPr>
          <w:rFonts w:asciiTheme="majorHAnsi" w:hAnsiTheme="majorHAnsi" w:cs="Arial"/>
          <w:sz w:val="24"/>
          <w:szCs w:val="24"/>
        </w:rPr>
        <w:t xml:space="preserve">  х. лв </w:t>
      </w:r>
    </w:p>
    <w:p w:rsidR="00B76C90" w:rsidRPr="00C75FCE" w:rsidRDefault="00B76C90" w:rsidP="00DC28A0">
      <w:pPr>
        <w:pStyle w:val="a3"/>
        <w:numPr>
          <w:ilvl w:val="0"/>
          <w:numId w:val="6"/>
        </w:numPr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Горива – 17 х. лв</w:t>
      </w:r>
    </w:p>
    <w:p w:rsidR="00B76C90" w:rsidRPr="00C75FCE" w:rsidRDefault="00B76C90" w:rsidP="00DC28A0">
      <w:pPr>
        <w:pStyle w:val="a3"/>
        <w:numPr>
          <w:ilvl w:val="0"/>
          <w:numId w:val="6"/>
        </w:numPr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Други –  </w:t>
      </w:r>
      <w:r w:rsidR="00C75FCE">
        <w:rPr>
          <w:rFonts w:asciiTheme="majorHAnsi" w:hAnsiTheme="majorHAnsi" w:cs="Arial"/>
          <w:sz w:val="24"/>
          <w:szCs w:val="24"/>
        </w:rPr>
        <w:t>42</w:t>
      </w:r>
      <w:r w:rsidRPr="00C75FCE">
        <w:rPr>
          <w:rFonts w:asciiTheme="majorHAnsi" w:hAnsiTheme="majorHAnsi" w:cs="Arial"/>
          <w:sz w:val="24"/>
          <w:szCs w:val="24"/>
        </w:rPr>
        <w:t xml:space="preserve"> х. лв</w:t>
      </w:r>
    </w:p>
    <w:p w:rsidR="00B76C90" w:rsidRPr="00DC28A0" w:rsidRDefault="00B76C90" w:rsidP="00DC28A0">
      <w:pPr>
        <w:pStyle w:val="a3"/>
        <w:tabs>
          <w:tab w:val="left" w:pos="1391"/>
        </w:tabs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През текущата финансова година не е съществувала индикация за съществена разлика между балансовата и пазарната стойност на текущите активи и в дружеството не е извършвана обезценка  на материални запаси.</w:t>
      </w:r>
      <w:r w:rsidRPr="00DC28A0">
        <w:rPr>
          <w:rFonts w:asciiTheme="majorHAnsi" w:hAnsiTheme="majorHAnsi" w:cs="Arial"/>
          <w:sz w:val="24"/>
          <w:szCs w:val="24"/>
        </w:rPr>
        <w:t xml:space="preserve"> </w:t>
      </w:r>
    </w:p>
    <w:p w:rsidR="00F45F76" w:rsidRDefault="00F45F76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</w:p>
    <w:p w:rsidR="00B76C90" w:rsidRPr="00C75F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F45F76">
        <w:rPr>
          <w:rFonts w:asciiTheme="majorHAnsi" w:hAnsiTheme="majorHAnsi" w:cs="Arial"/>
          <w:b/>
          <w:bCs/>
          <w:sz w:val="24"/>
          <w:szCs w:val="24"/>
        </w:rPr>
        <w:t>Търговските вземания</w:t>
      </w:r>
      <w:r w:rsidRPr="00C75FCE">
        <w:rPr>
          <w:rFonts w:asciiTheme="majorHAnsi" w:hAnsiTheme="majorHAnsi" w:cs="Arial"/>
          <w:bCs/>
          <w:sz w:val="24"/>
          <w:szCs w:val="24"/>
        </w:rPr>
        <w:t xml:space="preserve"> в лева са оценени по стойността на тяхното възникване , а тези деноминирани в чуждестранна валута – по заключителния курс на БНБ към 31 декември.</w:t>
      </w:r>
    </w:p>
    <w:p w:rsidR="00B76C90" w:rsidRPr="00C75FCE" w:rsidRDefault="00B76C90" w:rsidP="00DC28A0">
      <w:pPr>
        <w:pStyle w:val="a3"/>
        <w:tabs>
          <w:tab w:val="left" w:pos="1391"/>
        </w:tabs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Към края на отчетния период няма данни за наличие на обстоятелства за обезценка на вземанията и такава не е правена.</w:t>
      </w:r>
    </w:p>
    <w:p w:rsidR="00B76C90" w:rsidRPr="00C75FCE" w:rsidRDefault="00B76C90" w:rsidP="00DC28A0">
      <w:pPr>
        <w:pStyle w:val="a3"/>
        <w:tabs>
          <w:tab w:val="left" w:pos="1391"/>
        </w:tabs>
        <w:spacing w:before="12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Основните вземания са:</w:t>
      </w:r>
    </w:p>
    <w:p w:rsidR="00B76C90" w:rsidRPr="00C75FCE" w:rsidRDefault="00B76C90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РЗОК – 74</w:t>
      </w:r>
      <w:r w:rsidR="00AD5BDE">
        <w:rPr>
          <w:rFonts w:asciiTheme="majorHAnsi" w:hAnsiTheme="majorHAnsi" w:cs="Arial"/>
          <w:sz w:val="24"/>
          <w:szCs w:val="24"/>
        </w:rPr>
        <w:t>8</w:t>
      </w:r>
      <w:r w:rsidRPr="00C75FCE">
        <w:rPr>
          <w:rFonts w:asciiTheme="majorHAnsi" w:hAnsiTheme="majorHAnsi" w:cs="Arial"/>
          <w:sz w:val="24"/>
          <w:szCs w:val="24"/>
        </w:rPr>
        <w:t xml:space="preserve">  х. лв</w:t>
      </w:r>
      <w:r w:rsidR="00AD5BDE">
        <w:rPr>
          <w:rFonts w:asciiTheme="majorHAnsi" w:hAnsiTheme="majorHAnsi" w:cs="Arial"/>
          <w:sz w:val="24"/>
          <w:szCs w:val="24"/>
        </w:rPr>
        <w:t xml:space="preserve">, като </w:t>
      </w:r>
      <w:r w:rsidRPr="00C75FCE">
        <w:rPr>
          <w:rFonts w:asciiTheme="majorHAnsi" w:hAnsiTheme="majorHAnsi" w:cs="Arial"/>
          <w:sz w:val="24"/>
          <w:szCs w:val="24"/>
        </w:rPr>
        <w:t xml:space="preserve"> </w:t>
      </w:r>
      <w:r w:rsidR="00474ACE">
        <w:rPr>
          <w:rFonts w:asciiTheme="majorHAnsi" w:hAnsiTheme="majorHAnsi" w:cs="Arial"/>
          <w:sz w:val="24"/>
          <w:szCs w:val="24"/>
        </w:rPr>
        <w:t>204 х.лв са изработени, но не са платени от НЗОК за 2015 година</w:t>
      </w:r>
    </w:p>
    <w:p w:rsidR="00B76C90" w:rsidRPr="00C75FCE" w:rsidRDefault="00B76C90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МЗ – </w:t>
      </w:r>
      <w:r w:rsidR="00AD5BDE">
        <w:rPr>
          <w:rFonts w:asciiTheme="majorHAnsi" w:hAnsiTheme="majorHAnsi" w:cs="Arial"/>
          <w:sz w:val="24"/>
          <w:szCs w:val="24"/>
        </w:rPr>
        <w:t>13</w:t>
      </w:r>
      <w:r w:rsidRPr="00C75FCE">
        <w:rPr>
          <w:rFonts w:asciiTheme="majorHAnsi" w:hAnsiTheme="majorHAnsi" w:cs="Arial"/>
          <w:sz w:val="24"/>
          <w:szCs w:val="24"/>
        </w:rPr>
        <w:t xml:space="preserve"> х.лв</w:t>
      </w:r>
    </w:p>
    <w:p w:rsidR="00AD5BDE" w:rsidRDefault="00AD5BDE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Смарт Модул България ЕАД – 6 х.лв</w:t>
      </w:r>
    </w:p>
    <w:p w:rsidR="00B76C90" w:rsidRPr="00C75FCE" w:rsidRDefault="00B76C90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 xml:space="preserve">Други клиенти – </w:t>
      </w:r>
      <w:r w:rsidR="00AD5BDE">
        <w:rPr>
          <w:rFonts w:asciiTheme="majorHAnsi" w:hAnsiTheme="majorHAnsi" w:cs="Arial"/>
          <w:sz w:val="24"/>
          <w:szCs w:val="24"/>
        </w:rPr>
        <w:t>25</w:t>
      </w:r>
      <w:r w:rsidRPr="00C75FCE">
        <w:rPr>
          <w:rFonts w:asciiTheme="majorHAnsi" w:hAnsiTheme="majorHAnsi" w:cs="Arial"/>
          <w:sz w:val="24"/>
          <w:szCs w:val="24"/>
        </w:rPr>
        <w:t xml:space="preserve"> х.лв</w:t>
      </w:r>
    </w:p>
    <w:p w:rsidR="00B76C90" w:rsidRPr="00C75FCE" w:rsidRDefault="00B76C90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Данъци за възстановяване – 11 х.лв</w:t>
      </w:r>
    </w:p>
    <w:p w:rsidR="00B76C90" w:rsidRPr="00C75FCE" w:rsidRDefault="00B76C90" w:rsidP="00DC28A0">
      <w:pPr>
        <w:pStyle w:val="a3"/>
        <w:numPr>
          <w:ilvl w:val="0"/>
          <w:numId w:val="5"/>
        </w:numPr>
        <w:tabs>
          <w:tab w:val="left" w:pos="284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  <w:r w:rsidRPr="00C75FCE">
        <w:rPr>
          <w:rFonts w:asciiTheme="majorHAnsi" w:hAnsiTheme="majorHAnsi" w:cs="Arial"/>
          <w:sz w:val="24"/>
          <w:szCs w:val="24"/>
        </w:rPr>
        <w:t>Други вземания –</w:t>
      </w:r>
      <w:r w:rsidR="00AD5BDE">
        <w:rPr>
          <w:rFonts w:asciiTheme="majorHAnsi" w:hAnsiTheme="majorHAnsi" w:cs="Arial"/>
          <w:sz w:val="24"/>
          <w:szCs w:val="24"/>
        </w:rPr>
        <w:t xml:space="preserve"> 14 </w:t>
      </w:r>
      <w:r w:rsidRPr="00C75FCE">
        <w:rPr>
          <w:rFonts w:asciiTheme="majorHAnsi" w:hAnsiTheme="majorHAnsi" w:cs="Arial"/>
          <w:sz w:val="24"/>
          <w:szCs w:val="24"/>
        </w:rPr>
        <w:t xml:space="preserve">  хил. лева </w:t>
      </w:r>
    </w:p>
    <w:p w:rsidR="00B76C90" w:rsidRPr="00DC28A0" w:rsidRDefault="00B76C90" w:rsidP="00DC28A0">
      <w:pPr>
        <w:pStyle w:val="a3"/>
        <w:tabs>
          <w:tab w:val="left" w:pos="-142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DC28A0">
        <w:rPr>
          <w:rFonts w:asciiTheme="majorHAnsi" w:hAnsiTheme="majorHAnsi" w:cs="Arial"/>
          <w:b/>
          <w:bCs/>
          <w:sz w:val="24"/>
          <w:szCs w:val="24"/>
        </w:rPr>
        <w:t xml:space="preserve"> „Данъци за възстановяване” </w:t>
      </w:r>
      <w:r w:rsidRPr="00DC28A0">
        <w:rPr>
          <w:rFonts w:asciiTheme="majorHAnsi" w:hAnsiTheme="majorHAnsi" w:cs="Arial"/>
          <w:bCs/>
          <w:sz w:val="24"/>
          <w:szCs w:val="24"/>
        </w:rPr>
        <w:t>включват ДДС за възстановяване след годишното преизчисляване.</w:t>
      </w: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DC28A0" w:rsidRDefault="00F45F76" w:rsidP="00AD5BDE">
      <w:pPr>
        <w:pStyle w:val="a3"/>
        <w:tabs>
          <w:tab w:val="left" w:pos="1391"/>
        </w:tabs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DC28A0">
        <w:rPr>
          <w:rFonts w:asciiTheme="majorHAnsi" w:hAnsiTheme="majorHAnsi" w:cs="Arial"/>
          <w:b/>
          <w:sz w:val="24"/>
          <w:szCs w:val="24"/>
        </w:rPr>
        <w:t xml:space="preserve"> </w:t>
      </w:r>
      <w:r w:rsidR="00B76C90" w:rsidRPr="00DC28A0">
        <w:rPr>
          <w:rFonts w:asciiTheme="majorHAnsi" w:hAnsiTheme="majorHAnsi" w:cs="Arial"/>
          <w:b/>
          <w:sz w:val="24"/>
          <w:szCs w:val="24"/>
        </w:rPr>
        <w:t xml:space="preserve">„Други краткосрочни вземания” </w:t>
      </w:r>
      <w:r w:rsidR="00AD5BDE">
        <w:rPr>
          <w:rFonts w:asciiTheme="majorHAnsi" w:hAnsiTheme="majorHAnsi" w:cs="Arial"/>
          <w:sz w:val="24"/>
          <w:szCs w:val="24"/>
        </w:rPr>
        <w:t>включват в</w:t>
      </w:r>
      <w:r w:rsidR="00B76C90" w:rsidRPr="00AD5BDE">
        <w:rPr>
          <w:rFonts w:asciiTheme="majorHAnsi" w:hAnsiTheme="majorHAnsi" w:cs="Arial"/>
          <w:sz w:val="24"/>
          <w:szCs w:val="24"/>
        </w:rPr>
        <w:t>земания от физически лица</w:t>
      </w:r>
      <w:r w:rsidR="00AD5BDE">
        <w:rPr>
          <w:rFonts w:asciiTheme="majorHAnsi" w:hAnsiTheme="majorHAnsi" w:cs="Arial"/>
          <w:sz w:val="24"/>
          <w:szCs w:val="24"/>
        </w:rPr>
        <w:t xml:space="preserve"> и други.</w:t>
      </w:r>
    </w:p>
    <w:p w:rsidR="00B76C90" w:rsidRPr="00DC28A0" w:rsidRDefault="00B76C90" w:rsidP="00DC28A0">
      <w:pPr>
        <w:pStyle w:val="a3"/>
        <w:tabs>
          <w:tab w:val="left" w:pos="1391"/>
        </w:tabs>
        <w:ind w:left="-426" w:right="181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AD5BDE" w:rsidRDefault="00B76C90" w:rsidP="00DC28A0">
      <w:pPr>
        <w:pStyle w:val="a3"/>
        <w:tabs>
          <w:tab w:val="left" w:pos="1391"/>
        </w:tabs>
        <w:spacing w:before="240"/>
        <w:ind w:left="-426" w:right="180" w:firstLine="0"/>
        <w:jc w:val="left"/>
        <w:rPr>
          <w:rFonts w:asciiTheme="majorHAnsi" w:hAnsiTheme="majorHAnsi" w:cs="Arial"/>
          <w:color w:val="FF0000"/>
          <w:sz w:val="24"/>
          <w:szCs w:val="24"/>
        </w:rPr>
      </w:pPr>
      <w:r w:rsidRPr="00AD5BDE">
        <w:rPr>
          <w:rFonts w:asciiTheme="majorHAnsi" w:hAnsiTheme="majorHAnsi" w:cs="Arial"/>
          <w:b/>
          <w:sz w:val="24"/>
          <w:szCs w:val="24"/>
        </w:rPr>
        <w:t>Паричните средства</w:t>
      </w:r>
      <w:r w:rsidRPr="00AD5BDE">
        <w:rPr>
          <w:rFonts w:asciiTheme="majorHAnsi" w:hAnsiTheme="majorHAnsi" w:cs="Arial"/>
          <w:sz w:val="24"/>
          <w:szCs w:val="24"/>
        </w:rPr>
        <w:t xml:space="preserve"> в лева са оценени по номинална стойност, а паричните средства , деноминирани в чуждестранна валута – по заключителния курс на БНБ към 31 декември. За целите на съставянето на отчета на паричните потоци  парите  са представени като неблокирани пари по банковите сметки и в касата на дружеството</w:t>
      </w:r>
      <w:r w:rsidRPr="00AD5BDE">
        <w:rPr>
          <w:rFonts w:asciiTheme="majorHAnsi" w:hAnsiTheme="majorHAnsi" w:cs="Arial"/>
          <w:color w:val="FF0000"/>
          <w:sz w:val="24"/>
          <w:szCs w:val="24"/>
        </w:rPr>
        <w:t>.</w:t>
      </w:r>
    </w:p>
    <w:p w:rsidR="00B76C90" w:rsidRPr="00AD5BDE" w:rsidRDefault="00B76C90" w:rsidP="00DC28A0">
      <w:pPr>
        <w:pStyle w:val="a3"/>
        <w:tabs>
          <w:tab w:val="left" w:pos="1391"/>
        </w:tabs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AD5BDE">
        <w:rPr>
          <w:rFonts w:asciiTheme="majorHAnsi" w:hAnsiTheme="majorHAnsi" w:cs="Arial"/>
          <w:sz w:val="24"/>
          <w:szCs w:val="24"/>
        </w:rPr>
        <w:t>Към 3</w:t>
      </w:r>
      <w:r w:rsidR="00AD5BDE">
        <w:rPr>
          <w:rFonts w:asciiTheme="majorHAnsi" w:hAnsiTheme="majorHAnsi" w:cs="Arial"/>
          <w:sz w:val="24"/>
          <w:szCs w:val="24"/>
        </w:rPr>
        <w:t>0.09.2016</w:t>
      </w:r>
      <w:r w:rsidRPr="00AD5BDE">
        <w:rPr>
          <w:rFonts w:asciiTheme="majorHAnsi" w:hAnsiTheme="majorHAnsi" w:cs="Arial"/>
          <w:sz w:val="24"/>
          <w:szCs w:val="24"/>
        </w:rPr>
        <w:t xml:space="preserve"> година наличните парични средства в касата на дружеството са </w:t>
      </w:r>
      <w:r w:rsidR="00AD5BDE">
        <w:rPr>
          <w:rFonts w:asciiTheme="majorHAnsi" w:hAnsiTheme="majorHAnsi" w:cs="Arial"/>
          <w:sz w:val="24"/>
          <w:szCs w:val="24"/>
        </w:rPr>
        <w:t>6 хил.</w:t>
      </w:r>
      <w:r w:rsidRPr="00AD5BDE">
        <w:rPr>
          <w:rFonts w:asciiTheme="majorHAnsi" w:hAnsiTheme="majorHAnsi" w:cs="Arial"/>
          <w:sz w:val="24"/>
          <w:szCs w:val="24"/>
        </w:rPr>
        <w:t xml:space="preserve"> лева</w:t>
      </w:r>
      <w:r w:rsidRPr="00AD5BDE">
        <w:rPr>
          <w:rFonts w:asciiTheme="majorHAnsi" w:hAnsiTheme="majorHAnsi" w:cs="Arial"/>
          <w:sz w:val="24"/>
          <w:szCs w:val="24"/>
          <w:lang w:val="ru-RU"/>
        </w:rPr>
        <w:t>.</w:t>
      </w:r>
      <w:r w:rsidRPr="00AD5BDE">
        <w:rPr>
          <w:rFonts w:asciiTheme="majorHAnsi" w:hAnsiTheme="majorHAnsi" w:cs="Arial"/>
          <w:sz w:val="24"/>
          <w:szCs w:val="24"/>
        </w:rPr>
        <w:t xml:space="preserve"> По банковите си сметки дружеството разполага със следните наличности: разплащателни сметки в лева и във валута – 1</w:t>
      </w:r>
      <w:r w:rsidR="00AD5BDE">
        <w:rPr>
          <w:rFonts w:asciiTheme="majorHAnsi" w:hAnsiTheme="majorHAnsi" w:cs="Arial"/>
          <w:sz w:val="24"/>
          <w:szCs w:val="24"/>
        </w:rPr>
        <w:t>59</w:t>
      </w:r>
      <w:r w:rsidRPr="00AD5BDE">
        <w:rPr>
          <w:rFonts w:asciiTheme="majorHAnsi" w:hAnsiTheme="majorHAnsi" w:cs="Arial"/>
          <w:sz w:val="24"/>
          <w:szCs w:val="24"/>
        </w:rPr>
        <w:t xml:space="preserve">  х. лева. </w:t>
      </w:r>
    </w:p>
    <w:p w:rsidR="00B76C90" w:rsidRPr="00AD5BD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242B34" w:rsidRDefault="00B76C90" w:rsidP="00DC28A0">
      <w:pPr>
        <w:pStyle w:val="a3"/>
        <w:tabs>
          <w:tab w:val="left" w:pos="1391"/>
        </w:tabs>
        <w:spacing w:before="240"/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242B34">
        <w:rPr>
          <w:rFonts w:asciiTheme="majorHAnsi" w:hAnsiTheme="majorHAnsi" w:cs="Arial"/>
          <w:b/>
          <w:sz w:val="24"/>
          <w:szCs w:val="24"/>
        </w:rPr>
        <w:t>Основният капитал</w:t>
      </w:r>
      <w:r w:rsidRPr="00242B34">
        <w:rPr>
          <w:rFonts w:asciiTheme="majorHAnsi" w:hAnsiTheme="majorHAnsi" w:cs="Arial"/>
          <w:sz w:val="24"/>
          <w:szCs w:val="24"/>
        </w:rPr>
        <w:t xml:space="preserve"> е представен по неговата номинална стойност и съответства на актуалната му съдебна регистрация. Към 3</w:t>
      </w:r>
      <w:r w:rsidR="00474ACE">
        <w:rPr>
          <w:rFonts w:asciiTheme="majorHAnsi" w:hAnsiTheme="majorHAnsi" w:cs="Arial"/>
          <w:sz w:val="24"/>
          <w:szCs w:val="24"/>
        </w:rPr>
        <w:t>0.09.2016</w:t>
      </w:r>
      <w:r w:rsidRPr="00242B34">
        <w:rPr>
          <w:rFonts w:asciiTheme="majorHAnsi" w:hAnsiTheme="majorHAnsi" w:cs="Arial"/>
          <w:sz w:val="24"/>
          <w:szCs w:val="24"/>
        </w:rPr>
        <w:t xml:space="preserve"> г. внесеният напълно основен  капитал е в размер на 6 763  хил.лв и е разпределен в 1  брой дялове  с номинал 6 762 979  лева. Едноличен собственик е Община Казанлък .</w:t>
      </w:r>
    </w:p>
    <w:p w:rsidR="00B76C90" w:rsidRPr="00242B34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  <w:highlight w:val="yellow"/>
        </w:rPr>
      </w:pP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  <w:highlight w:val="yellow"/>
        </w:rPr>
      </w:pP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F45F76">
        <w:rPr>
          <w:rFonts w:asciiTheme="majorHAnsi" w:hAnsiTheme="majorHAnsi" w:cs="Arial"/>
          <w:b/>
          <w:sz w:val="24"/>
          <w:szCs w:val="24"/>
        </w:rPr>
        <w:t>В статията Резерви</w:t>
      </w:r>
      <w:r w:rsidRPr="00474ACE">
        <w:rPr>
          <w:rFonts w:asciiTheme="majorHAnsi" w:hAnsiTheme="majorHAnsi" w:cs="Arial"/>
          <w:sz w:val="24"/>
          <w:szCs w:val="24"/>
        </w:rPr>
        <w:t xml:space="preserve">  са предоставени „Други резерви”  в размер на 26 хил.лв.</w:t>
      </w:r>
    </w:p>
    <w:p w:rsidR="00F45F76" w:rsidRDefault="00F45F76" w:rsidP="004F1606">
      <w:pPr>
        <w:ind w:left="-426" w:right="322"/>
        <w:rPr>
          <w:rFonts w:asciiTheme="majorHAnsi" w:hAnsiTheme="majorHAnsi"/>
        </w:rPr>
      </w:pPr>
    </w:p>
    <w:p w:rsidR="00B76C90" w:rsidRDefault="004F1606" w:rsidP="004F1606">
      <w:pPr>
        <w:ind w:left="-426" w:right="322"/>
        <w:rPr>
          <w:rFonts w:asciiTheme="majorHAnsi" w:hAnsiTheme="majorHAnsi"/>
        </w:rPr>
      </w:pPr>
      <w:r w:rsidRPr="00F45F76">
        <w:rPr>
          <w:rFonts w:asciiTheme="majorHAnsi" w:hAnsiTheme="majorHAnsi"/>
          <w:b/>
        </w:rPr>
        <w:t xml:space="preserve">Към 30.09.2016 година </w:t>
      </w:r>
      <w:r w:rsidR="00B76C90" w:rsidRPr="00F45F76">
        <w:rPr>
          <w:rFonts w:asciiTheme="majorHAnsi" w:hAnsiTheme="majorHAnsi"/>
          <w:b/>
        </w:rPr>
        <w:t xml:space="preserve"> дружеството приключи с</w:t>
      </w:r>
      <w:r w:rsidR="00B76C90" w:rsidRPr="00F45F76">
        <w:rPr>
          <w:rFonts w:asciiTheme="majorHAnsi" w:hAnsiTheme="majorHAnsi"/>
          <w:b/>
          <w:lang w:val="en-US"/>
        </w:rPr>
        <w:t xml:space="preserve"> </w:t>
      </w:r>
      <w:r w:rsidRPr="00F45F76">
        <w:rPr>
          <w:rFonts w:asciiTheme="majorHAnsi" w:hAnsiTheme="majorHAnsi"/>
          <w:b/>
        </w:rPr>
        <w:t>113</w:t>
      </w:r>
      <w:r w:rsidR="00B76C90" w:rsidRPr="00F45F76">
        <w:rPr>
          <w:rFonts w:asciiTheme="majorHAnsi" w:hAnsiTheme="majorHAnsi"/>
          <w:b/>
        </w:rPr>
        <w:t xml:space="preserve">    хил. лева  </w:t>
      </w:r>
      <w:r w:rsidR="00B76C90" w:rsidRPr="00F45F76">
        <w:rPr>
          <w:rFonts w:asciiTheme="majorHAnsi" w:hAnsiTheme="majorHAnsi"/>
          <w:b/>
          <w:lang w:val="en-US"/>
        </w:rPr>
        <w:t xml:space="preserve">счетоводна </w:t>
      </w:r>
      <w:r w:rsidRPr="00F45F76">
        <w:rPr>
          <w:rFonts w:asciiTheme="majorHAnsi" w:hAnsiTheme="majorHAnsi"/>
          <w:b/>
        </w:rPr>
        <w:t>загуба</w:t>
      </w:r>
      <w:r w:rsidR="00B76C90" w:rsidRPr="00474ACE">
        <w:rPr>
          <w:rFonts w:asciiTheme="majorHAnsi" w:hAnsiTheme="majorHAnsi"/>
        </w:rPr>
        <w:t>.  Финансовият  резултат без отчитане на неползвани отпуски и осигуровки свързани с тях / -</w:t>
      </w:r>
      <w:r>
        <w:rPr>
          <w:rFonts w:asciiTheme="majorHAnsi" w:hAnsiTheme="majorHAnsi"/>
        </w:rPr>
        <w:t>70</w:t>
      </w:r>
      <w:r w:rsidR="00B76C90" w:rsidRPr="00474ACE">
        <w:rPr>
          <w:rFonts w:asciiTheme="majorHAnsi" w:hAnsiTheme="majorHAnsi"/>
        </w:rPr>
        <w:t xml:space="preserve">/ хил. лева/ , съгласно действащите  Национални счетоводни стандарти  е </w:t>
      </w:r>
      <w:r>
        <w:rPr>
          <w:rFonts w:asciiTheme="majorHAnsi" w:hAnsiTheme="majorHAnsi"/>
        </w:rPr>
        <w:t>183</w:t>
      </w:r>
      <w:r w:rsidR="00B76C90" w:rsidRPr="00474ACE">
        <w:rPr>
          <w:rFonts w:asciiTheme="majorHAnsi" w:hAnsiTheme="majorHAnsi"/>
        </w:rPr>
        <w:t xml:space="preserve"> хил. лева </w:t>
      </w:r>
      <w:r>
        <w:rPr>
          <w:rFonts w:asciiTheme="majorHAnsi" w:hAnsiTheme="majorHAnsi"/>
        </w:rPr>
        <w:t>загуба</w:t>
      </w:r>
      <w:r w:rsidR="000C1ABB">
        <w:rPr>
          <w:rFonts w:asciiTheme="majorHAnsi" w:hAnsiTheme="majorHAnsi"/>
        </w:rPr>
        <w:t>, която се дължи на:</w:t>
      </w:r>
      <w:r w:rsidR="00B76C90" w:rsidRPr="00474ACE">
        <w:rPr>
          <w:rFonts w:asciiTheme="majorHAnsi" w:hAnsiTheme="majorHAnsi"/>
        </w:rPr>
        <w:t xml:space="preserve"> </w:t>
      </w:r>
    </w:p>
    <w:p w:rsidR="00BB4E5A" w:rsidRPr="00BB4E5A" w:rsidRDefault="00BB4E5A" w:rsidP="00BB4E5A">
      <w:pPr>
        <w:numPr>
          <w:ilvl w:val="0"/>
          <w:numId w:val="10"/>
        </w:numPr>
        <w:ind w:left="-426"/>
        <w:rPr>
          <w:rFonts w:asciiTheme="majorHAnsi" w:hAnsiTheme="majorHAnsi"/>
        </w:rPr>
      </w:pPr>
      <w:r w:rsidRPr="00BB4E5A">
        <w:rPr>
          <w:rFonts w:asciiTheme="majorHAnsi" w:hAnsiTheme="majorHAnsi"/>
        </w:rPr>
        <w:t>Работ</w:t>
      </w:r>
      <w:r>
        <w:rPr>
          <w:rFonts w:asciiTheme="majorHAnsi" w:hAnsiTheme="majorHAnsi"/>
        </w:rPr>
        <w:t>а</w:t>
      </w:r>
      <w:r w:rsidRPr="00BB4E5A">
        <w:rPr>
          <w:rFonts w:asciiTheme="majorHAnsi" w:hAnsiTheme="majorHAnsi"/>
        </w:rPr>
        <w:t xml:space="preserve"> в система на „бюджетно </w:t>
      </w:r>
      <w:r>
        <w:rPr>
          <w:rFonts w:asciiTheme="majorHAnsi" w:hAnsiTheme="majorHAnsi"/>
        </w:rPr>
        <w:t>финансиране</w:t>
      </w:r>
      <w:r w:rsidRPr="00BB4E5A">
        <w:rPr>
          <w:rFonts w:asciiTheme="majorHAnsi" w:hAnsiTheme="majorHAnsi"/>
        </w:rPr>
        <w:t>”, само че със свръхвисоки изисквания за задължителен брой лекари, необходим брой изследвания, високи изисквания по отношение на задължителната  медицинска апаратура, престой в лечебното заведение, пролежани леглодни,  медикаменти и ниски бюджети, неосигуряващи нормалното функциониране на лечебните заведения.</w:t>
      </w:r>
    </w:p>
    <w:p w:rsidR="00BB4E5A" w:rsidRPr="00BB4E5A" w:rsidRDefault="00BB4E5A" w:rsidP="000C1ABB">
      <w:pPr>
        <w:numPr>
          <w:ilvl w:val="0"/>
          <w:numId w:val="10"/>
        </w:numPr>
        <w:shd w:val="clear" w:color="auto" w:fill="FFFFFF"/>
        <w:ind w:left="-426" w:right="284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Ниски цени на клинични </w:t>
      </w:r>
      <w:r w:rsidRPr="00BB4E5A">
        <w:rPr>
          <w:rFonts w:asciiTheme="majorHAnsi" w:hAnsiTheme="majorHAnsi" w:cs="Helvetica"/>
        </w:rPr>
        <w:t>пътеки</w:t>
      </w:r>
      <w:r>
        <w:rPr>
          <w:rFonts w:asciiTheme="majorHAnsi" w:hAnsiTheme="majorHAnsi" w:cs="Helvetica"/>
        </w:rPr>
        <w:t>, несъобразени</w:t>
      </w:r>
      <w:r w:rsidRPr="00BB4E5A">
        <w:rPr>
          <w:rFonts w:asciiTheme="majorHAnsi" w:hAnsiTheme="majorHAnsi"/>
          <w:w w:val="107"/>
        </w:rPr>
        <w:t xml:space="preserve"> с инфлационните процеси</w:t>
      </w:r>
      <w:r w:rsidR="002A31BE">
        <w:rPr>
          <w:rFonts w:asciiTheme="majorHAnsi" w:hAnsiTheme="majorHAnsi"/>
          <w:w w:val="107"/>
        </w:rPr>
        <w:t>,</w:t>
      </w:r>
      <w:r>
        <w:rPr>
          <w:rFonts w:asciiTheme="majorHAnsi" w:hAnsiTheme="majorHAnsi"/>
          <w:w w:val="107"/>
        </w:rPr>
        <w:t xml:space="preserve"> не синхронизирани с високи</w:t>
      </w:r>
      <w:r w:rsidR="002A31BE">
        <w:rPr>
          <w:rFonts w:asciiTheme="majorHAnsi" w:hAnsiTheme="majorHAnsi"/>
          <w:w w:val="107"/>
        </w:rPr>
        <w:t>те</w:t>
      </w:r>
      <w:r>
        <w:rPr>
          <w:rFonts w:asciiTheme="majorHAnsi" w:hAnsiTheme="majorHAnsi"/>
          <w:w w:val="107"/>
        </w:rPr>
        <w:t xml:space="preserve"> изисквания </w:t>
      </w:r>
      <w:r w:rsidR="002A31BE">
        <w:rPr>
          <w:rFonts w:asciiTheme="majorHAnsi" w:hAnsiTheme="majorHAnsi"/>
          <w:w w:val="107"/>
        </w:rPr>
        <w:t>на медицински стандарти и постоянно нарастващи минимални осигурителни прагове</w:t>
      </w:r>
      <w:r w:rsidRPr="00BB4E5A">
        <w:rPr>
          <w:rFonts w:asciiTheme="majorHAnsi" w:hAnsiTheme="majorHAnsi" w:cs="Helvetica"/>
        </w:rPr>
        <w:t>.</w:t>
      </w:r>
    </w:p>
    <w:p w:rsidR="000C1ABB" w:rsidRPr="000C1ABB" w:rsidRDefault="000C1ABB" w:rsidP="000C1ABB">
      <w:pPr>
        <w:numPr>
          <w:ilvl w:val="0"/>
          <w:numId w:val="10"/>
        </w:numPr>
        <w:shd w:val="clear" w:color="auto" w:fill="FFFFFF"/>
        <w:ind w:left="-426" w:right="284"/>
        <w:jc w:val="both"/>
        <w:rPr>
          <w:rFonts w:ascii="Cambria" w:hAnsi="Cambria" w:cs="Helvetica"/>
        </w:rPr>
      </w:pPr>
      <w:r w:rsidRPr="000C1ABB">
        <w:rPr>
          <w:rFonts w:ascii="Cambria" w:hAnsi="Cambria" w:cs="Helvetica"/>
          <w:bCs/>
        </w:rPr>
        <w:t>Продължаващата политика и практика на хронично недофинансиране на здравеопазването и особено на общинските болници</w:t>
      </w:r>
      <w:r w:rsidRPr="000C1ABB">
        <w:rPr>
          <w:rFonts w:ascii="Cambria" w:hAnsi="Cambria" w:cs="Helvetica"/>
        </w:rPr>
        <w:t>.</w:t>
      </w:r>
    </w:p>
    <w:p w:rsidR="000C1ABB" w:rsidRPr="000C1ABB" w:rsidRDefault="000C1ABB" w:rsidP="000C1ABB">
      <w:pPr>
        <w:widowControl w:val="0"/>
        <w:numPr>
          <w:ilvl w:val="0"/>
          <w:numId w:val="10"/>
        </w:numPr>
        <w:tabs>
          <w:tab w:val="left" w:pos="3912"/>
          <w:tab w:val="num" w:pos="3969"/>
        </w:tabs>
        <w:autoSpaceDE w:val="0"/>
        <w:autoSpaceDN w:val="0"/>
        <w:adjustRightInd w:val="0"/>
        <w:ind w:left="-426" w:right="60"/>
        <w:rPr>
          <w:rFonts w:ascii="Cambria" w:hAnsi="Cambria"/>
          <w:spacing w:val="-3"/>
        </w:rPr>
      </w:pPr>
      <w:r w:rsidRPr="000C1ABB">
        <w:rPr>
          <w:rFonts w:ascii="Cambria" w:hAnsi="Cambria"/>
          <w:spacing w:val="-3"/>
        </w:rPr>
        <w:t>Заплащане за дейност от  МЗ по различни методики за  държавните и общинските болници – критериите за заплащане на дейността на ОАИЛ са такива, които  не позволяват на общинските болници да получат съответната субсидия.</w:t>
      </w:r>
    </w:p>
    <w:p w:rsidR="000C1ABB" w:rsidRPr="000C1ABB" w:rsidRDefault="000C1ABB" w:rsidP="000C1ABB">
      <w:pPr>
        <w:widowControl w:val="0"/>
        <w:numPr>
          <w:ilvl w:val="0"/>
          <w:numId w:val="10"/>
        </w:numPr>
        <w:tabs>
          <w:tab w:val="left" w:pos="3912"/>
          <w:tab w:val="num" w:pos="3969"/>
        </w:tabs>
        <w:autoSpaceDE w:val="0"/>
        <w:autoSpaceDN w:val="0"/>
        <w:adjustRightInd w:val="0"/>
        <w:ind w:left="-426" w:right="60"/>
        <w:rPr>
          <w:rFonts w:ascii="Cambria" w:hAnsi="Cambria"/>
          <w:spacing w:val="-3"/>
        </w:rPr>
      </w:pPr>
      <w:r w:rsidRPr="000C1ABB">
        <w:rPr>
          <w:rFonts w:ascii="Cambria" w:hAnsi="Cambria"/>
          <w:spacing w:val="-3"/>
        </w:rPr>
        <w:t xml:space="preserve">Централно не заплащане на някои видове дейности, които изискват изтичане на ресурси / републикански консултанти,  леглодни в интензивните отделения и сектори, специализация на кадри/. </w:t>
      </w:r>
    </w:p>
    <w:p w:rsidR="000C1ABB" w:rsidRPr="000C1ABB" w:rsidRDefault="000C1ABB" w:rsidP="000C1ABB">
      <w:pPr>
        <w:widowControl w:val="0"/>
        <w:numPr>
          <w:ilvl w:val="0"/>
          <w:numId w:val="10"/>
        </w:numPr>
        <w:tabs>
          <w:tab w:val="left" w:pos="3912"/>
          <w:tab w:val="num" w:pos="3969"/>
        </w:tabs>
        <w:autoSpaceDE w:val="0"/>
        <w:autoSpaceDN w:val="0"/>
        <w:adjustRightInd w:val="0"/>
        <w:ind w:left="-426" w:right="60"/>
        <w:rPr>
          <w:rFonts w:ascii="Cambria" w:hAnsi="Cambria"/>
          <w:spacing w:val="-3"/>
        </w:rPr>
      </w:pPr>
      <w:r w:rsidRPr="000C1ABB">
        <w:rPr>
          <w:rFonts w:ascii="Cambria" w:hAnsi="Cambria"/>
          <w:spacing w:val="-3"/>
        </w:rPr>
        <w:t>Липса на управленски  лостове в условията на стагнация, поради централизиран характер на разходите и приходите.</w:t>
      </w:r>
    </w:p>
    <w:p w:rsidR="000C1ABB" w:rsidRPr="000C1ABB" w:rsidRDefault="000C1ABB" w:rsidP="000C1ABB">
      <w:pPr>
        <w:widowControl w:val="0"/>
        <w:numPr>
          <w:ilvl w:val="0"/>
          <w:numId w:val="10"/>
        </w:numPr>
        <w:tabs>
          <w:tab w:val="num" w:pos="3969"/>
        </w:tabs>
        <w:autoSpaceDE w:val="0"/>
        <w:autoSpaceDN w:val="0"/>
        <w:adjustRightInd w:val="0"/>
        <w:ind w:left="-426"/>
        <w:rPr>
          <w:rFonts w:ascii="Cambria" w:hAnsi="Cambria"/>
          <w:spacing w:val="-2"/>
        </w:rPr>
      </w:pPr>
      <w:r w:rsidRPr="000C1ABB">
        <w:rPr>
          <w:rFonts w:ascii="Cambria" w:hAnsi="Cambria"/>
          <w:spacing w:val="-2"/>
        </w:rPr>
        <w:t>Наличие  на неплатежоспособни неосигурени лица</w:t>
      </w:r>
      <w:r>
        <w:rPr>
          <w:rFonts w:asciiTheme="majorHAnsi" w:hAnsiTheme="majorHAnsi"/>
          <w:spacing w:val="-2"/>
        </w:rPr>
        <w:t>, на които лечебното заведение не може да откаже хоспитализация</w:t>
      </w:r>
      <w:r w:rsidRPr="000C1ABB">
        <w:rPr>
          <w:rFonts w:ascii="Cambria" w:hAnsi="Cambria"/>
          <w:spacing w:val="-2"/>
        </w:rPr>
        <w:t>.</w:t>
      </w:r>
    </w:p>
    <w:p w:rsidR="000C1ABB" w:rsidRPr="000C1ABB" w:rsidRDefault="000C1ABB" w:rsidP="000C1ABB">
      <w:pPr>
        <w:widowControl w:val="0"/>
        <w:numPr>
          <w:ilvl w:val="0"/>
          <w:numId w:val="10"/>
        </w:numPr>
        <w:tabs>
          <w:tab w:val="num" w:pos="3969"/>
        </w:tabs>
        <w:autoSpaceDE w:val="0"/>
        <w:autoSpaceDN w:val="0"/>
        <w:adjustRightInd w:val="0"/>
        <w:ind w:left="-426" w:right="-426"/>
        <w:rPr>
          <w:rFonts w:ascii="Cambria" w:hAnsi="Cambria"/>
          <w:spacing w:val="-2"/>
        </w:rPr>
      </w:pPr>
      <w:r w:rsidRPr="000C1ABB">
        <w:rPr>
          <w:rFonts w:ascii="Cambria" w:hAnsi="Cambria"/>
          <w:spacing w:val="-2"/>
        </w:rPr>
        <w:t>Наличие на  задължения, натрупани преди 2009 година  .</w:t>
      </w:r>
    </w:p>
    <w:p w:rsidR="004F1606" w:rsidRPr="00474ACE" w:rsidRDefault="004F1606" w:rsidP="004F1606">
      <w:pPr>
        <w:ind w:left="-426" w:right="322"/>
        <w:rPr>
          <w:rFonts w:asciiTheme="majorHAnsi" w:hAnsiTheme="majorHAnsi" w:cs="Arial"/>
        </w:rPr>
      </w:pP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F45F76">
        <w:rPr>
          <w:rFonts w:asciiTheme="majorHAnsi" w:hAnsiTheme="majorHAnsi" w:cs="Arial"/>
          <w:b/>
          <w:bCs/>
          <w:sz w:val="24"/>
          <w:szCs w:val="24"/>
        </w:rPr>
        <w:t>Краткосрочните задължения</w:t>
      </w:r>
      <w:r w:rsidRPr="00474ACE">
        <w:rPr>
          <w:rFonts w:asciiTheme="majorHAnsi" w:hAnsiTheme="majorHAnsi" w:cs="Arial"/>
          <w:bCs/>
          <w:sz w:val="24"/>
          <w:szCs w:val="24"/>
        </w:rPr>
        <w:t xml:space="preserve">  в лева са оценени по стойността на тяхното възникване .</w:t>
      </w: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474ACE">
        <w:rPr>
          <w:rFonts w:asciiTheme="majorHAnsi" w:hAnsiTheme="majorHAnsi" w:cs="Arial"/>
          <w:sz w:val="24"/>
          <w:szCs w:val="24"/>
        </w:rPr>
        <w:t>В статията текущи задължения са посочени както следва:</w:t>
      </w:r>
    </w:p>
    <w:p w:rsidR="00B76C90" w:rsidRPr="00474ACE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tbl>
      <w:tblPr>
        <w:tblW w:w="7153" w:type="dxa"/>
        <w:tblInd w:w="468" w:type="dxa"/>
        <w:tblLayout w:type="fixed"/>
        <w:tblLook w:val="0000"/>
      </w:tblPr>
      <w:tblGrid>
        <w:gridCol w:w="491"/>
        <w:gridCol w:w="4111"/>
        <w:gridCol w:w="2551"/>
      </w:tblGrid>
      <w:tr w:rsidR="00B76C90" w:rsidRPr="00474ACE" w:rsidTr="000C1AB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ЗАДЪЛЖЕНИЯ</w:t>
            </w:r>
            <w:r w:rsidR="0023175A">
              <w:rPr>
                <w:rFonts w:asciiTheme="majorHAnsi" w:hAnsiTheme="majorHAnsi" w:cs="Arial"/>
                <w:sz w:val="24"/>
                <w:szCs w:val="24"/>
              </w:rPr>
              <w:t xml:space="preserve"> ПО ПЕРА</w:t>
            </w:r>
            <w:r w:rsidRPr="00474AC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459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09.</w:t>
            </w:r>
            <w:r w:rsidR="00B76C90" w:rsidRPr="00474ACE">
              <w:rPr>
                <w:rFonts w:asciiTheme="majorHAnsi" w:hAnsiTheme="majorHAnsi" w:cs="Arial"/>
                <w:sz w:val="24"/>
                <w:szCs w:val="24"/>
              </w:rPr>
              <w:t>201</w:t>
            </w: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  <w:r w:rsidR="00B76C90" w:rsidRPr="00474ACE">
              <w:rPr>
                <w:rFonts w:asciiTheme="majorHAnsi" w:hAnsiTheme="majorHAnsi" w:cs="Arial"/>
                <w:sz w:val="24"/>
                <w:szCs w:val="24"/>
              </w:rPr>
              <w:t>г.- /хил.лева/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„Софарма Трейдинг” АД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251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  <w:lang w:val="en-US"/>
              </w:rPr>
              <w:t>2</w:t>
            </w:r>
            <w:r w:rsidRPr="00474ACE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„ Хигия” ЕАД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„Янко Мермеклиев” ЕТ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8</w:t>
            </w:r>
            <w:r w:rsidR="000C1ABB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„Фьоникс Фарма” ЕООД - „Либра „ ЕАД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51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„Медекс” ООД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0C1ABB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Други доставчици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778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Задължения към персонала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429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Задължения към осигурителни предпр.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172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Данък за общините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80</w:t>
            </w:r>
          </w:p>
        </w:tc>
      </w:tr>
      <w:tr w:rsidR="00B76C90" w:rsidRPr="00474ACE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 xml:space="preserve">8.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Данък по ЗДОФЛ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0C1ABB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31</w:t>
            </w:r>
          </w:p>
        </w:tc>
      </w:tr>
      <w:tr w:rsidR="00B76C90" w:rsidRPr="00DC28A0" w:rsidTr="000C1ABB"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DC28A0">
            <w:pPr>
              <w:pStyle w:val="a3"/>
              <w:tabs>
                <w:tab w:val="left" w:pos="1391"/>
              </w:tabs>
              <w:snapToGrid w:val="0"/>
              <w:ind w:left="-426" w:firstLine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B76C90" w:rsidRPr="00474ACE" w:rsidRDefault="00B76C90" w:rsidP="000C1ABB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474ACE">
              <w:rPr>
                <w:rFonts w:asciiTheme="majorHAnsi" w:hAnsiTheme="majorHAnsi" w:cs="Arial"/>
                <w:sz w:val="24"/>
                <w:szCs w:val="24"/>
              </w:rPr>
              <w:t>ОБЩО: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90" w:rsidRPr="00474ACE" w:rsidRDefault="0023175A" w:rsidP="0023175A">
            <w:pPr>
              <w:pStyle w:val="a3"/>
              <w:tabs>
                <w:tab w:val="left" w:pos="1391"/>
              </w:tabs>
              <w:snapToGrid w:val="0"/>
              <w:ind w:left="-426" w:firstLine="0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2091</w:t>
            </w:r>
          </w:p>
        </w:tc>
      </w:tr>
    </w:tbl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  <w:highlight w:val="yellow"/>
        </w:rPr>
      </w:pPr>
    </w:p>
    <w:p w:rsidR="00B76C90" w:rsidRPr="00A666CF" w:rsidRDefault="00B76C90" w:rsidP="00DC28A0">
      <w:pPr>
        <w:pStyle w:val="3"/>
        <w:ind w:left="-426" w:right="180" w:firstLine="0"/>
        <w:jc w:val="left"/>
        <w:rPr>
          <w:rFonts w:asciiTheme="majorHAnsi" w:hAnsiTheme="majorHAnsi" w:cs="Arial"/>
          <w:szCs w:val="24"/>
        </w:rPr>
      </w:pPr>
      <w:r w:rsidRPr="00A666CF">
        <w:rPr>
          <w:rFonts w:asciiTheme="majorHAnsi" w:hAnsiTheme="majorHAnsi" w:cs="Arial"/>
          <w:szCs w:val="24"/>
        </w:rPr>
        <w:t xml:space="preserve">Дружеството признава като задължение недисконтираната сума на оценените разходи по платен годишен отпуск, очаквани да бъдат заплатени на служителите в </w:t>
      </w:r>
      <w:r w:rsidRPr="00A666CF">
        <w:rPr>
          <w:rFonts w:asciiTheme="majorHAnsi" w:hAnsiTheme="majorHAnsi" w:cs="Arial"/>
          <w:szCs w:val="24"/>
        </w:rPr>
        <w:lastRenderedPageBreak/>
        <w:t xml:space="preserve">замяна на труда им за изминалия отчетен период в размер на </w:t>
      </w:r>
      <w:r w:rsidR="00A666CF">
        <w:rPr>
          <w:rFonts w:asciiTheme="majorHAnsi" w:hAnsiTheme="majorHAnsi" w:cs="Arial"/>
          <w:szCs w:val="24"/>
        </w:rPr>
        <w:t>199</w:t>
      </w:r>
      <w:r w:rsidRPr="00A666CF">
        <w:rPr>
          <w:rFonts w:asciiTheme="majorHAnsi" w:hAnsiTheme="majorHAnsi" w:cs="Arial"/>
          <w:szCs w:val="24"/>
        </w:rPr>
        <w:t xml:space="preserve">  хил. лева и осигуровки, свързани с тях в размер на 19 х.лв.</w:t>
      </w:r>
    </w:p>
    <w:p w:rsidR="00B76C90" w:rsidRPr="00DC28A0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  <w:highlight w:val="yellow"/>
        </w:rPr>
      </w:pPr>
      <w:r w:rsidRPr="00DC28A0">
        <w:rPr>
          <w:rFonts w:asciiTheme="majorHAnsi" w:hAnsiTheme="majorHAnsi" w:cs="Arial"/>
          <w:sz w:val="24"/>
          <w:szCs w:val="24"/>
          <w:highlight w:val="yellow"/>
        </w:rPr>
        <w:t xml:space="preserve">              </w:t>
      </w: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/>
          <w:bCs/>
          <w:sz w:val="24"/>
          <w:szCs w:val="24"/>
        </w:rPr>
        <w:t xml:space="preserve">„Данъчни задължения” </w:t>
      </w:r>
      <w:r w:rsidRPr="00A666CF">
        <w:rPr>
          <w:rFonts w:asciiTheme="majorHAnsi" w:hAnsiTheme="majorHAnsi" w:cs="Arial"/>
          <w:bCs/>
          <w:sz w:val="24"/>
          <w:szCs w:val="24"/>
        </w:rPr>
        <w:t>включват:</w:t>
      </w:r>
    </w:p>
    <w:p w:rsidR="00B76C90" w:rsidRPr="00A666CF" w:rsidRDefault="00B76C90" w:rsidP="00DC28A0">
      <w:pPr>
        <w:pStyle w:val="a3"/>
        <w:numPr>
          <w:ilvl w:val="0"/>
          <w:numId w:val="7"/>
        </w:numPr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 xml:space="preserve">„Разчети с общината” – </w:t>
      </w:r>
      <w:r w:rsidR="00A666CF">
        <w:rPr>
          <w:rFonts w:asciiTheme="majorHAnsi" w:hAnsiTheme="majorHAnsi" w:cs="Arial"/>
          <w:bCs/>
          <w:sz w:val="24"/>
          <w:szCs w:val="24"/>
        </w:rPr>
        <w:t>80</w:t>
      </w:r>
      <w:r w:rsidRPr="00A666CF">
        <w:rPr>
          <w:rFonts w:asciiTheme="majorHAnsi" w:hAnsiTheme="majorHAnsi" w:cs="Arial"/>
          <w:bCs/>
          <w:sz w:val="24"/>
          <w:szCs w:val="24"/>
        </w:rPr>
        <w:t xml:space="preserve"> х.лв</w:t>
      </w:r>
    </w:p>
    <w:p w:rsidR="00B76C90" w:rsidRDefault="00B76C90" w:rsidP="00DC28A0">
      <w:pPr>
        <w:pStyle w:val="a3"/>
        <w:numPr>
          <w:ilvl w:val="0"/>
          <w:numId w:val="7"/>
        </w:numPr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 xml:space="preserve">ДОД – </w:t>
      </w:r>
      <w:r w:rsidR="00A666CF">
        <w:rPr>
          <w:rFonts w:asciiTheme="majorHAnsi" w:hAnsiTheme="majorHAnsi" w:cs="Arial"/>
          <w:bCs/>
          <w:sz w:val="24"/>
          <w:szCs w:val="24"/>
        </w:rPr>
        <w:t>31</w:t>
      </w:r>
      <w:r w:rsidRPr="00A666CF">
        <w:rPr>
          <w:rFonts w:asciiTheme="majorHAnsi" w:hAnsiTheme="majorHAnsi" w:cs="Arial"/>
          <w:bCs/>
          <w:sz w:val="24"/>
          <w:szCs w:val="24"/>
        </w:rPr>
        <w:t xml:space="preserve"> х.лв</w:t>
      </w:r>
    </w:p>
    <w:p w:rsidR="00A666CF" w:rsidRPr="00A666CF" w:rsidRDefault="00A666CF" w:rsidP="00DC28A0">
      <w:pPr>
        <w:pStyle w:val="a3"/>
        <w:numPr>
          <w:ilvl w:val="0"/>
          <w:numId w:val="7"/>
        </w:numPr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Други – 3 х.лв</w:t>
      </w:r>
    </w:p>
    <w:p w:rsidR="00B76C90" w:rsidRPr="00A666CF" w:rsidRDefault="00B76C90" w:rsidP="00DC28A0">
      <w:pPr>
        <w:pStyle w:val="a3"/>
        <w:tabs>
          <w:tab w:val="left" w:pos="-284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-284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/>
          <w:bCs/>
          <w:sz w:val="24"/>
          <w:szCs w:val="24"/>
        </w:rPr>
        <w:t xml:space="preserve">„Други краткосрочни задължения” </w:t>
      </w:r>
      <w:r w:rsidRPr="00A666CF">
        <w:rPr>
          <w:rFonts w:asciiTheme="majorHAnsi" w:hAnsiTheme="majorHAnsi" w:cs="Arial"/>
          <w:bCs/>
          <w:sz w:val="24"/>
          <w:szCs w:val="24"/>
        </w:rPr>
        <w:t>включват:</w:t>
      </w:r>
    </w:p>
    <w:p w:rsidR="00B76C90" w:rsidRPr="00A666CF" w:rsidRDefault="00B76C90" w:rsidP="00DC28A0">
      <w:pPr>
        <w:pStyle w:val="a3"/>
        <w:numPr>
          <w:ilvl w:val="0"/>
          <w:numId w:val="8"/>
        </w:numPr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 xml:space="preserve">Разчети за гаранции – </w:t>
      </w:r>
      <w:r w:rsidR="00A666CF">
        <w:rPr>
          <w:rFonts w:asciiTheme="majorHAnsi" w:hAnsiTheme="majorHAnsi" w:cs="Arial"/>
          <w:bCs/>
          <w:sz w:val="24"/>
          <w:szCs w:val="24"/>
        </w:rPr>
        <w:t xml:space="preserve">29 </w:t>
      </w:r>
      <w:r w:rsidRPr="00A666CF">
        <w:rPr>
          <w:rFonts w:asciiTheme="majorHAnsi" w:hAnsiTheme="majorHAnsi" w:cs="Arial"/>
          <w:bCs/>
          <w:sz w:val="24"/>
          <w:szCs w:val="24"/>
        </w:rPr>
        <w:t>хил.лв</w:t>
      </w:r>
    </w:p>
    <w:p w:rsidR="00B76C90" w:rsidRPr="00A666CF" w:rsidRDefault="00B76C90" w:rsidP="00DC28A0">
      <w:pPr>
        <w:pStyle w:val="a3"/>
        <w:numPr>
          <w:ilvl w:val="0"/>
          <w:numId w:val="8"/>
        </w:numPr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>ВСК членски внос – 29 хил. лв</w:t>
      </w:r>
    </w:p>
    <w:p w:rsidR="00B76C90" w:rsidRPr="00A666CF" w:rsidRDefault="00B76C90" w:rsidP="00DC28A0">
      <w:pPr>
        <w:pStyle w:val="a3"/>
        <w:numPr>
          <w:ilvl w:val="0"/>
          <w:numId w:val="8"/>
        </w:numPr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>Членски внос Подкрепа – 2,</w:t>
      </w:r>
      <w:r w:rsidR="00A666CF">
        <w:rPr>
          <w:rFonts w:asciiTheme="majorHAnsi" w:hAnsiTheme="majorHAnsi" w:cs="Arial"/>
          <w:bCs/>
          <w:sz w:val="24"/>
          <w:szCs w:val="24"/>
        </w:rPr>
        <w:t>3</w:t>
      </w:r>
      <w:r w:rsidRPr="00A666CF">
        <w:rPr>
          <w:rFonts w:asciiTheme="majorHAnsi" w:hAnsiTheme="majorHAnsi" w:cs="Arial"/>
          <w:bCs/>
          <w:sz w:val="24"/>
          <w:szCs w:val="24"/>
        </w:rPr>
        <w:t xml:space="preserve"> хил.лв</w:t>
      </w:r>
    </w:p>
    <w:p w:rsidR="00B76C90" w:rsidRPr="00A666CF" w:rsidRDefault="00B76C90" w:rsidP="00DC28A0">
      <w:pPr>
        <w:pStyle w:val="a3"/>
        <w:numPr>
          <w:ilvl w:val="0"/>
          <w:numId w:val="8"/>
        </w:numPr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>Членски внос КНСБ – 2,</w:t>
      </w:r>
      <w:r w:rsidR="00A666CF">
        <w:rPr>
          <w:rFonts w:asciiTheme="majorHAnsi" w:hAnsiTheme="majorHAnsi" w:cs="Arial"/>
          <w:bCs/>
          <w:sz w:val="24"/>
          <w:szCs w:val="24"/>
        </w:rPr>
        <w:t>3</w:t>
      </w:r>
      <w:r w:rsidRPr="00A666CF">
        <w:rPr>
          <w:rFonts w:asciiTheme="majorHAnsi" w:hAnsiTheme="majorHAnsi" w:cs="Arial"/>
          <w:bCs/>
          <w:sz w:val="24"/>
          <w:szCs w:val="24"/>
        </w:rPr>
        <w:t xml:space="preserve"> хил.лв</w:t>
      </w:r>
    </w:p>
    <w:p w:rsidR="00B76C90" w:rsidRPr="00DC28A0" w:rsidRDefault="00B76C90" w:rsidP="00DC28A0">
      <w:pPr>
        <w:pStyle w:val="a3"/>
        <w:tabs>
          <w:tab w:val="left" w:pos="-567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  <w:highlight w:val="yellow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F45F76">
        <w:rPr>
          <w:rFonts w:asciiTheme="majorHAnsi" w:hAnsiTheme="majorHAnsi" w:cs="Arial"/>
          <w:b/>
          <w:sz w:val="24"/>
          <w:szCs w:val="24"/>
        </w:rPr>
        <w:t>В пасива на баланса в раздел   „Финансирания</w:t>
      </w:r>
      <w:r w:rsidR="00A666CF" w:rsidRPr="00F45F76">
        <w:rPr>
          <w:rFonts w:asciiTheme="majorHAnsi" w:hAnsiTheme="majorHAnsi" w:cs="Arial"/>
          <w:b/>
          <w:sz w:val="24"/>
          <w:szCs w:val="24"/>
        </w:rPr>
        <w:t>”</w:t>
      </w:r>
      <w:r w:rsidRPr="00A666CF">
        <w:rPr>
          <w:rFonts w:asciiTheme="majorHAnsi" w:hAnsiTheme="majorHAnsi" w:cs="Arial"/>
          <w:sz w:val="24"/>
          <w:szCs w:val="24"/>
        </w:rPr>
        <w:t xml:space="preserve">  са посочени очакваните приходи от предоставените дарения и финансирания .</w:t>
      </w: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sz w:val="24"/>
          <w:szCs w:val="24"/>
        </w:rPr>
      </w:pPr>
      <w:r w:rsidRPr="00A666CF">
        <w:rPr>
          <w:rFonts w:asciiTheme="majorHAnsi" w:hAnsiTheme="majorHAnsi" w:cs="Arial"/>
          <w:sz w:val="24"/>
          <w:szCs w:val="24"/>
        </w:rPr>
        <w:t>Структурата на финансирания е следната:</w:t>
      </w:r>
    </w:p>
    <w:p w:rsidR="00A666CF" w:rsidRPr="00A666CF" w:rsidRDefault="00A666CF" w:rsidP="00DC28A0">
      <w:pPr>
        <w:pStyle w:val="a3"/>
        <w:numPr>
          <w:ilvl w:val="0"/>
          <w:numId w:val="4"/>
        </w:numPr>
        <w:tabs>
          <w:tab w:val="left" w:pos="709"/>
        </w:tabs>
        <w:ind w:left="-426" w:firstLine="0"/>
        <w:jc w:val="left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Финансиране за ДМА от Община Казанлък - 438 хил.лв</w:t>
      </w:r>
    </w:p>
    <w:p w:rsidR="00A666CF" w:rsidRPr="00A666CF" w:rsidRDefault="00A666CF" w:rsidP="00DC28A0">
      <w:pPr>
        <w:pStyle w:val="a3"/>
        <w:numPr>
          <w:ilvl w:val="0"/>
          <w:numId w:val="4"/>
        </w:numPr>
        <w:tabs>
          <w:tab w:val="left" w:pos="709"/>
        </w:tabs>
        <w:ind w:left="-426" w:firstLine="0"/>
        <w:jc w:val="left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Финансирания за ДМА от други предприятия – 214 хил.лв</w:t>
      </w:r>
    </w:p>
    <w:p w:rsidR="00B76C90" w:rsidRPr="00A666CF" w:rsidRDefault="00B76C90" w:rsidP="00DC28A0">
      <w:pPr>
        <w:pStyle w:val="a3"/>
        <w:numPr>
          <w:ilvl w:val="0"/>
          <w:numId w:val="4"/>
        </w:numPr>
        <w:tabs>
          <w:tab w:val="left" w:pos="709"/>
        </w:tabs>
        <w:ind w:left="-426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sz w:val="24"/>
          <w:szCs w:val="24"/>
        </w:rPr>
        <w:t>Програма ФАР – 5</w:t>
      </w:r>
      <w:r w:rsidR="00A666CF">
        <w:rPr>
          <w:rFonts w:asciiTheme="majorHAnsi" w:hAnsiTheme="majorHAnsi" w:cs="Arial"/>
          <w:sz w:val="24"/>
          <w:szCs w:val="24"/>
        </w:rPr>
        <w:t>6</w:t>
      </w:r>
      <w:r w:rsidRPr="00A666CF">
        <w:rPr>
          <w:rFonts w:asciiTheme="majorHAnsi" w:hAnsiTheme="majorHAnsi" w:cs="Arial"/>
          <w:sz w:val="24"/>
          <w:szCs w:val="24"/>
        </w:rPr>
        <w:t xml:space="preserve"> х. лв</w:t>
      </w:r>
    </w:p>
    <w:p w:rsidR="00B76C90" w:rsidRPr="00A666CF" w:rsidRDefault="00B76C90" w:rsidP="00DC28A0">
      <w:pPr>
        <w:pStyle w:val="a3"/>
        <w:numPr>
          <w:ilvl w:val="0"/>
          <w:numId w:val="4"/>
        </w:numPr>
        <w:tabs>
          <w:tab w:val="left" w:pos="709"/>
        </w:tabs>
        <w:ind w:left="-426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 xml:space="preserve">  Финансиране от Японското посолство –</w:t>
      </w:r>
      <w:r w:rsidR="00A666CF">
        <w:rPr>
          <w:rFonts w:asciiTheme="majorHAnsi" w:hAnsiTheme="majorHAnsi" w:cs="Arial"/>
          <w:bCs/>
          <w:sz w:val="24"/>
          <w:szCs w:val="24"/>
        </w:rPr>
        <w:t>34</w:t>
      </w:r>
      <w:r w:rsidRPr="00A666CF">
        <w:rPr>
          <w:rFonts w:asciiTheme="majorHAnsi" w:hAnsiTheme="majorHAnsi" w:cs="Arial"/>
          <w:bCs/>
          <w:sz w:val="24"/>
          <w:szCs w:val="24"/>
        </w:rPr>
        <w:t xml:space="preserve"> х. Лв</w:t>
      </w:r>
    </w:p>
    <w:p w:rsidR="00B76C90" w:rsidRPr="00A666CF" w:rsidRDefault="00B76C90" w:rsidP="00DC28A0">
      <w:pPr>
        <w:pStyle w:val="a3"/>
        <w:tabs>
          <w:tab w:val="left" w:pos="-142"/>
          <w:tab w:val="left" w:pos="0"/>
        </w:tabs>
        <w:ind w:left="-426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/>
          <w:bCs/>
          <w:sz w:val="24"/>
          <w:szCs w:val="24"/>
        </w:rPr>
      </w:pPr>
      <w:r w:rsidRPr="00A666CF">
        <w:rPr>
          <w:rFonts w:asciiTheme="majorHAnsi" w:hAnsiTheme="majorHAnsi" w:cs="Arial"/>
          <w:b/>
          <w:bCs/>
          <w:sz w:val="24"/>
          <w:szCs w:val="24"/>
        </w:rPr>
        <w:t>Данъчно облагане</w:t>
      </w: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>Разходите за данъци са начислени в съответствие с българското законодателство.</w:t>
      </w:r>
    </w:p>
    <w:p w:rsidR="00B76C90" w:rsidRPr="00A666CF" w:rsidRDefault="00B76C90" w:rsidP="00DC28A0">
      <w:pPr>
        <w:pStyle w:val="a3"/>
        <w:numPr>
          <w:ilvl w:val="0"/>
          <w:numId w:val="3"/>
        </w:numPr>
        <w:tabs>
          <w:tab w:val="left" w:pos="284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A666CF">
        <w:rPr>
          <w:rFonts w:asciiTheme="majorHAnsi" w:hAnsiTheme="majorHAnsi" w:cs="Arial"/>
          <w:bCs/>
          <w:sz w:val="24"/>
          <w:szCs w:val="24"/>
        </w:rPr>
        <w:t>Данъ</w:t>
      </w:r>
      <w:r w:rsidR="00BB4E5A">
        <w:rPr>
          <w:rFonts w:asciiTheme="majorHAnsi" w:hAnsiTheme="majorHAnsi" w:cs="Arial"/>
          <w:bCs/>
          <w:sz w:val="24"/>
          <w:szCs w:val="24"/>
        </w:rPr>
        <w:t>ци по ЗМДТ – 14 хил. лв</w:t>
      </w:r>
      <w:r w:rsidRPr="00A666CF">
        <w:rPr>
          <w:rFonts w:asciiTheme="majorHAnsi" w:hAnsiTheme="majorHAnsi" w:cs="Arial"/>
          <w:bCs/>
          <w:sz w:val="24"/>
          <w:szCs w:val="24"/>
        </w:rPr>
        <w:t>;</w:t>
      </w:r>
    </w:p>
    <w:p w:rsidR="00B76C90" w:rsidRPr="00BB4E5A" w:rsidRDefault="00BB4E5A" w:rsidP="00DC28A0">
      <w:pPr>
        <w:pStyle w:val="a3"/>
        <w:numPr>
          <w:ilvl w:val="0"/>
          <w:numId w:val="3"/>
        </w:numPr>
        <w:tabs>
          <w:tab w:val="left" w:pos="284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  <w:r w:rsidRPr="00BB4E5A">
        <w:rPr>
          <w:rFonts w:asciiTheme="majorHAnsi" w:hAnsiTheme="majorHAnsi" w:cs="Arial"/>
          <w:bCs/>
          <w:sz w:val="24"/>
          <w:szCs w:val="24"/>
        </w:rPr>
        <w:t>Данъци по ЗКПО – 1,4 хил. лева</w:t>
      </w:r>
    </w:p>
    <w:p w:rsidR="00B76C90" w:rsidRPr="00A666CF" w:rsidRDefault="00B76C90" w:rsidP="00DC28A0">
      <w:pPr>
        <w:pStyle w:val="a3"/>
        <w:tabs>
          <w:tab w:val="left" w:pos="1391"/>
        </w:tabs>
        <w:ind w:left="-426" w:right="180" w:firstLine="0"/>
        <w:jc w:val="left"/>
        <w:rPr>
          <w:rFonts w:asciiTheme="majorHAnsi" w:hAnsiTheme="majorHAnsi" w:cs="Arial"/>
          <w:bCs/>
          <w:sz w:val="24"/>
          <w:szCs w:val="24"/>
        </w:rPr>
      </w:pPr>
    </w:p>
    <w:p w:rsidR="00F45F76" w:rsidRPr="00F45F76" w:rsidRDefault="00F45F76" w:rsidP="00F45F76">
      <w:pPr>
        <w:spacing w:before="120"/>
        <w:ind w:left="-426" w:right="-426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b/>
          <w:lang w:eastAsia="ar-SA"/>
        </w:rPr>
        <w:t>Приходите</w:t>
      </w:r>
      <w:r w:rsidRPr="00F45F76">
        <w:rPr>
          <w:rFonts w:asciiTheme="majorHAnsi" w:hAnsiTheme="majorHAnsi" w:cs="Arial"/>
          <w:lang w:eastAsia="ar-SA"/>
        </w:rPr>
        <w:t xml:space="preserve"> от продажби и</w:t>
      </w:r>
      <w:r w:rsidRPr="00F45F76">
        <w:rPr>
          <w:rFonts w:asciiTheme="majorHAnsi" w:hAnsiTheme="majorHAnsi" w:cs="Arial"/>
          <w:b/>
          <w:lang w:eastAsia="ar-SA"/>
        </w:rPr>
        <w:t xml:space="preserve"> разходите</w:t>
      </w:r>
      <w:r w:rsidRPr="00F45F76">
        <w:rPr>
          <w:rFonts w:asciiTheme="majorHAnsi" w:hAnsiTheme="majorHAnsi" w:cs="Arial"/>
          <w:lang w:eastAsia="ar-SA"/>
        </w:rPr>
        <w:t xml:space="preserve"> за дейността са начислявани в момента на тяхното възникване, независимо от паричните постъпления и плащания. Отчитането и признаването на</w:t>
      </w:r>
      <w:r w:rsidRPr="00F45F76">
        <w:rPr>
          <w:rFonts w:asciiTheme="majorHAnsi" w:hAnsiTheme="majorHAnsi" w:cs="Arial"/>
          <w:b/>
          <w:lang w:eastAsia="ar-SA"/>
        </w:rPr>
        <w:t xml:space="preserve"> приходите и разходите </w:t>
      </w:r>
      <w:r w:rsidRPr="00F45F76">
        <w:rPr>
          <w:rFonts w:asciiTheme="majorHAnsi" w:hAnsiTheme="majorHAnsi" w:cs="Arial"/>
          <w:lang w:eastAsia="ar-SA"/>
        </w:rPr>
        <w:t xml:space="preserve">се извършва при спазване на изискването за причинна и следствена връзка между тях. </w:t>
      </w:r>
    </w:p>
    <w:p w:rsidR="00F45F76" w:rsidRPr="00F45F76" w:rsidRDefault="00F45F76" w:rsidP="00F45F76">
      <w:pPr>
        <w:ind w:left="-426" w:right="-426"/>
        <w:rPr>
          <w:rFonts w:asciiTheme="majorHAnsi" w:hAnsiTheme="majorHAnsi"/>
        </w:rPr>
      </w:pPr>
      <w:r w:rsidRPr="00F45F76">
        <w:rPr>
          <w:rFonts w:asciiTheme="majorHAnsi" w:hAnsiTheme="majorHAnsi" w:cs="Arial"/>
          <w:lang w:eastAsia="ar-SA"/>
        </w:rPr>
        <w:t>Приходите от продажби на медицински услуги са оценени по  стойността на съответните клинични пътеки. Същите са фактурирани</w:t>
      </w:r>
      <w:r w:rsidRPr="00F45F76">
        <w:rPr>
          <w:rFonts w:asciiTheme="majorHAnsi" w:hAnsiTheme="majorHAnsi"/>
        </w:rPr>
        <w:t>.</w:t>
      </w:r>
    </w:p>
    <w:p w:rsidR="00F45F76" w:rsidRPr="00F45F76" w:rsidRDefault="00F45F76" w:rsidP="00F45F76">
      <w:pPr>
        <w:spacing w:before="120"/>
        <w:ind w:left="-426" w:right="-426"/>
        <w:rPr>
          <w:rFonts w:asciiTheme="majorHAnsi" w:hAnsiTheme="majorHAnsi" w:cs="Arial"/>
          <w:b/>
          <w:lang w:eastAsia="ar-SA"/>
        </w:rPr>
      </w:pPr>
      <w:r w:rsidRPr="00F45F76">
        <w:rPr>
          <w:rFonts w:asciiTheme="majorHAnsi" w:hAnsiTheme="majorHAnsi" w:cs="Arial"/>
          <w:b/>
          <w:lang w:eastAsia="ar-SA"/>
        </w:rPr>
        <w:t>Разходите за материали имат следната структура:</w:t>
      </w:r>
    </w:p>
    <w:p w:rsidR="00F45F76" w:rsidRPr="00F45F76" w:rsidRDefault="00F45F76" w:rsidP="00F45F76">
      <w:pPr>
        <w:spacing w:before="120"/>
        <w:ind w:left="-426" w:right="-426"/>
        <w:rPr>
          <w:rFonts w:asciiTheme="majorHAnsi" w:hAnsiTheme="majorHAnsi" w:cs="Arial"/>
          <w:b/>
          <w:lang w:eastAsia="ar-SA"/>
        </w:rPr>
      </w:pP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Медикаменти –  </w:t>
      </w:r>
      <w:r>
        <w:rPr>
          <w:rFonts w:asciiTheme="majorHAnsi" w:hAnsiTheme="majorHAnsi" w:cs="Arial"/>
          <w:lang w:eastAsia="ar-SA"/>
        </w:rPr>
        <w:t>405</w:t>
      </w:r>
      <w:r w:rsidRPr="00F45F76">
        <w:rPr>
          <w:rFonts w:asciiTheme="majorHAnsi" w:hAnsiTheme="majorHAnsi" w:cs="Arial"/>
          <w:lang w:eastAsia="ar-SA"/>
        </w:rPr>
        <w:t xml:space="preserve"> хил.лв – 4</w:t>
      </w:r>
      <w:r>
        <w:rPr>
          <w:rFonts w:asciiTheme="majorHAnsi" w:hAnsiTheme="majorHAnsi" w:cs="Arial"/>
          <w:lang w:eastAsia="ar-SA"/>
        </w:rPr>
        <w:t>1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 Консумативи – </w:t>
      </w:r>
      <w:r>
        <w:rPr>
          <w:rFonts w:asciiTheme="majorHAnsi" w:hAnsiTheme="majorHAnsi" w:cs="Arial"/>
          <w:lang w:eastAsia="ar-SA"/>
        </w:rPr>
        <w:t>352</w:t>
      </w:r>
      <w:r w:rsidRPr="00F45F76">
        <w:rPr>
          <w:rFonts w:asciiTheme="majorHAnsi" w:hAnsiTheme="majorHAnsi" w:cs="Arial"/>
          <w:lang w:eastAsia="ar-SA"/>
        </w:rPr>
        <w:t xml:space="preserve">  х.лв– 3</w:t>
      </w:r>
      <w:r>
        <w:rPr>
          <w:rFonts w:asciiTheme="majorHAnsi" w:hAnsiTheme="majorHAnsi" w:cs="Arial"/>
          <w:lang w:eastAsia="ar-SA"/>
        </w:rPr>
        <w:t>5</w:t>
      </w:r>
      <w:r w:rsidRPr="00F45F76">
        <w:rPr>
          <w:rFonts w:asciiTheme="majorHAnsi" w:hAnsiTheme="majorHAnsi" w:cs="Arial"/>
          <w:lang w:eastAsia="ar-SA"/>
        </w:rPr>
        <w:t xml:space="preserve"> 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Ел.енергия – </w:t>
      </w:r>
      <w:r>
        <w:rPr>
          <w:rFonts w:asciiTheme="majorHAnsi" w:hAnsiTheme="majorHAnsi" w:cs="Arial"/>
          <w:lang w:eastAsia="ar-SA"/>
        </w:rPr>
        <w:t>65</w:t>
      </w:r>
      <w:r w:rsidRPr="00F45F76">
        <w:rPr>
          <w:rFonts w:asciiTheme="majorHAnsi" w:hAnsiTheme="majorHAnsi" w:cs="Arial"/>
          <w:lang w:eastAsia="ar-SA"/>
        </w:rPr>
        <w:t xml:space="preserve"> хил.лв – </w:t>
      </w:r>
      <w:r>
        <w:rPr>
          <w:rFonts w:asciiTheme="majorHAnsi" w:hAnsiTheme="majorHAnsi" w:cs="Arial"/>
          <w:lang w:eastAsia="ar-SA"/>
        </w:rPr>
        <w:t>7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Вода – </w:t>
      </w:r>
      <w:r>
        <w:rPr>
          <w:rFonts w:asciiTheme="majorHAnsi" w:hAnsiTheme="majorHAnsi" w:cs="Arial"/>
          <w:lang w:eastAsia="ar-SA"/>
        </w:rPr>
        <w:t>26</w:t>
      </w:r>
      <w:r w:rsidRPr="00F45F76">
        <w:rPr>
          <w:rFonts w:asciiTheme="majorHAnsi" w:hAnsiTheme="majorHAnsi" w:cs="Arial"/>
          <w:lang w:eastAsia="ar-SA"/>
        </w:rPr>
        <w:t xml:space="preserve"> хил.лв – </w:t>
      </w:r>
      <w:r>
        <w:rPr>
          <w:rFonts w:asciiTheme="majorHAnsi" w:hAnsiTheme="majorHAnsi" w:cs="Arial"/>
          <w:lang w:eastAsia="ar-SA"/>
        </w:rPr>
        <w:t>3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ГСМ – </w:t>
      </w:r>
      <w:r>
        <w:rPr>
          <w:rFonts w:asciiTheme="majorHAnsi" w:hAnsiTheme="majorHAnsi" w:cs="Arial"/>
          <w:lang w:eastAsia="ar-SA"/>
        </w:rPr>
        <w:t>43</w:t>
      </w:r>
      <w:r w:rsidRPr="00F45F76">
        <w:rPr>
          <w:rFonts w:asciiTheme="majorHAnsi" w:hAnsiTheme="majorHAnsi" w:cs="Arial"/>
          <w:lang w:eastAsia="ar-SA"/>
        </w:rPr>
        <w:t xml:space="preserve">  хил.лв – </w:t>
      </w:r>
      <w:r>
        <w:rPr>
          <w:rFonts w:asciiTheme="majorHAnsi" w:hAnsiTheme="majorHAnsi" w:cs="Arial"/>
          <w:lang w:eastAsia="ar-SA"/>
        </w:rPr>
        <w:t>4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>Други разходи за материали – 1</w:t>
      </w:r>
      <w:r>
        <w:rPr>
          <w:rFonts w:asciiTheme="majorHAnsi" w:hAnsiTheme="majorHAnsi" w:cs="Arial"/>
          <w:lang w:eastAsia="ar-SA"/>
        </w:rPr>
        <w:t>01</w:t>
      </w:r>
      <w:r w:rsidRPr="00F45F76">
        <w:rPr>
          <w:rFonts w:asciiTheme="majorHAnsi" w:hAnsiTheme="majorHAnsi" w:cs="Arial"/>
          <w:lang w:eastAsia="ar-SA"/>
        </w:rPr>
        <w:t xml:space="preserve">   хил.лв – </w:t>
      </w:r>
      <w:r>
        <w:rPr>
          <w:rFonts w:asciiTheme="majorHAnsi" w:hAnsiTheme="majorHAnsi" w:cs="Arial"/>
          <w:lang w:eastAsia="ar-SA"/>
        </w:rPr>
        <w:t>10</w:t>
      </w:r>
      <w:r w:rsidRPr="00F45F76">
        <w:rPr>
          <w:rFonts w:asciiTheme="majorHAnsi" w:hAnsiTheme="majorHAnsi" w:cs="Arial"/>
          <w:lang w:eastAsia="ar-SA"/>
        </w:rPr>
        <w:t xml:space="preserve">  %</w:t>
      </w:r>
    </w:p>
    <w:p w:rsidR="00F45F76" w:rsidRPr="00F45F76" w:rsidRDefault="00F45F76" w:rsidP="00F45F76">
      <w:pPr>
        <w:numPr>
          <w:ilvl w:val="0"/>
          <w:numId w:val="21"/>
        </w:numPr>
        <w:ind w:left="-426" w:right="-426" w:firstLine="0"/>
        <w:jc w:val="both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Общо разходи за материали – </w:t>
      </w:r>
      <w:r>
        <w:rPr>
          <w:rFonts w:asciiTheme="majorHAnsi" w:hAnsiTheme="majorHAnsi" w:cs="Arial"/>
          <w:lang w:eastAsia="ar-SA"/>
        </w:rPr>
        <w:t>992</w:t>
      </w:r>
      <w:r w:rsidRPr="00F45F76">
        <w:rPr>
          <w:rFonts w:asciiTheme="majorHAnsi" w:hAnsiTheme="majorHAnsi" w:cs="Arial"/>
          <w:lang w:eastAsia="ar-SA"/>
        </w:rPr>
        <w:t xml:space="preserve">  хил.лв</w:t>
      </w:r>
    </w:p>
    <w:p w:rsidR="00F45F76" w:rsidRPr="00F45F76" w:rsidRDefault="00F45F76" w:rsidP="00F45F76">
      <w:pPr>
        <w:ind w:left="-426" w:right="-426"/>
        <w:jc w:val="both"/>
        <w:rPr>
          <w:rFonts w:asciiTheme="majorHAnsi" w:hAnsiTheme="majorHAnsi" w:cs="Arial"/>
          <w:lang w:eastAsia="ar-SA"/>
        </w:rPr>
      </w:pPr>
    </w:p>
    <w:p w:rsidR="00F45F76" w:rsidRPr="008F1D8A" w:rsidRDefault="00F45F76" w:rsidP="00F45F76">
      <w:pPr>
        <w:jc w:val="both"/>
        <w:rPr>
          <w:rFonts w:ascii="Arial Narrow" w:hAnsi="Arial Narrow" w:cs="Arial"/>
          <w:lang w:eastAsia="ar-SA"/>
        </w:rPr>
      </w:pPr>
      <w:r>
        <w:rPr>
          <w:rFonts w:ascii="Arial Narrow" w:hAnsi="Arial Narrow" w:cs="Arial"/>
          <w:noProof/>
        </w:rPr>
        <w:lastRenderedPageBreak/>
        <w:drawing>
          <wp:inline distT="0" distB="0" distL="0" distR="0">
            <wp:extent cx="6372225" cy="2219325"/>
            <wp:effectExtent l="0" t="0" r="0" b="0"/>
            <wp:docPr id="1" name="Об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F76" w:rsidRPr="008F1D8A" w:rsidRDefault="00F45F76" w:rsidP="00F45F76">
      <w:pPr>
        <w:jc w:val="both"/>
        <w:rPr>
          <w:rFonts w:ascii="Arial Narrow" w:hAnsi="Arial Narrow" w:cs="Arial"/>
          <w:lang w:eastAsia="ar-SA"/>
        </w:rPr>
      </w:pPr>
    </w:p>
    <w:p w:rsidR="00F45F76" w:rsidRPr="00F45F76" w:rsidRDefault="00F45F76" w:rsidP="00F45F76">
      <w:pPr>
        <w:ind w:left="-709" w:right="180" w:firstLine="425"/>
        <w:rPr>
          <w:rFonts w:asciiTheme="majorHAnsi" w:hAnsiTheme="majorHAnsi" w:cs="Arial"/>
          <w:lang w:eastAsia="ar-SA"/>
        </w:rPr>
      </w:pPr>
    </w:p>
    <w:p w:rsidR="00F45F76" w:rsidRPr="00F45F76" w:rsidRDefault="00F45F76" w:rsidP="00F45F76">
      <w:pPr>
        <w:ind w:left="-709" w:right="180" w:firstLine="425"/>
        <w:rPr>
          <w:rFonts w:asciiTheme="majorHAnsi" w:hAnsiTheme="majorHAnsi" w:cs="Arial"/>
          <w:lang w:eastAsia="ar-SA"/>
        </w:rPr>
      </w:pPr>
      <w:r w:rsidRPr="004D5C4D">
        <w:rPr>
          <w:rFonts w:asciiTheme="majorHAnsi" w:hAnsiTheme="majorHAnsi" w:cs="Arial"/>
          <w:b/>
          <w:lang w:eastAsia="ar-SA"/>
        </w:rPr>
        <w:t>Разходите за  външни услуги</w:t>
      </w:r>
      <w:r w:rsidRPr="00F45F76">
        <w:rPr>
          <w:rFonts w:asciiTheme="majorHAnsi" w:hAnsiTheme="majorHAnsi" w:cs="Arial"/>
          <w:lang w:eastAsia="ar-SA"/>
        </w:rPr>
        <w:t xml:space="preserve">  имат следната структура:</w:t>
      </w:r>
    </w:p>
    <w:p w:rsidR="00F45F76" w:rsidRPr="00F45F76" w:rsidRDefault="00F45F76" w:rsidP="00F45F76">
      <w:pPr>
        <w:ind w:left="-709" w:right="180" w:firstLine="425"/>
        <w:rPr>
          <w:rFonts w:asciiTheme="majorHAnsi" w:hAnsiTheme="majorHAnsi" w:cs="Arial"/>
          <w:lang w:eastAsia="ar-SA"/>
        </w:rPr>
      </w:pP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Пране – </w:t>
      </w:r>
      <w:r w:rsidR="004D5C4D">
        <w:rPr>
          <w:rFonts w:asciiTheme="majorHAnsi" w:hAnsiTheme="majorHAnsi" w:cs="Arial"/>
          <w:lang w:eastAsia="ar-SA"/>
        </w:rPr>
        <w:t>38</w:t>
      </w:r>
      <w:r w:rsidRPr="00F45F76">
        <w:rPr>
          <w:rFonts w:asciiTheme="majorHAnsi" w:hAnsiTheme="majorHAnsi" w:cs="Arial"/>
          <w:lang w:eastAsia="ar-SA"/>
        </w:rPr>
        <w:t xml:space="preserve"> хил.лв – </w:t>
      </w:r>
      <w:r w:rsidR="00031BFD">
        <w:rPr>
          <w:rFonts w:asciiTheme="majorHAnsi" w:hAnsiTheme="majorHAnsi" w:cs="Arial"/>
          <w:lang w:eastAsia="ar-SA"/>
        </w:rPr>
        <w:t>8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Лабораторни изследвания – </w:t>
      </w:r>
      <w:r w:rsidR="00F7153B">
        <w:rPr>
          <w:rFonts w:asciiTheme="majorHAnsi" w:hAnsiTheme="majorHAnsi" w:cs="Arial"/>
          <w:lang w:eastAsia="ar-SA"/>
        </w:rPr>
        <w:t>3</w:t>
      </w:r>
      <w:r w:rsidRPr="00F45F76">
        <w:rPr>
          <w:rFonts w:asciiTheme="majorHAnsi" w:hAnsiTheme="majorHAnsi" w:cs="Arial"/>
          <w:lang w:eastAsia="ar-SA"/>
        </w:rPr>
        <w:t>5 хил. Лв – 8 %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>Храна пациенти – 1</w:t>
      </w:r>
      <w:r w:rsidR="00F7153B">
        <w:rPr>
          <w:rFonts w:asciiTheme="majorHAnsi" w:hAnsiTheme="majorHAnsi" w:cs="Arial"/>
          <w:lang w:eastAsia="ar-SA"/>
        </w:rPr>
        <w:t>12</w:t>
      </w:r>
      <w:r w:rsidRPr="00F45F76">
        <w:rPr>
          <w:rFonts w:asciiTheme="majorHAnsi" w:hAnsiTheme="majorHAnsi" w:cs="Arial"/>
          <w:lang w:eastAsia="ar-SA"/>
        </w:rPr>
        <w:t xml:space="preserve"> хил.лв – 24 %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Храна предпазна  – </w:t>
      </w:r>
      <w:r w:rsidR="00F7153B">
        <w:rPr>
          <w:rFonts w:asciiTheme="majorHAnsi" w:hAnsiTheme="majorHAnsi" w:cs="Arial"/>
          <w:lang w:eastAsia="ar-SA"/>
        </w:rPr>
        <w:t>65</w:t>
      </w:r>
      <w:r w:rsidRPr="00F45F76">
        <w:rPr>
          <w:rFonts w:asciiTheme="majorHAnsi" w:hAnsiTheme="majorHAnsi" w:cs="Arial"/>
          <w:lang w:eastAsia="ar-SA"/>
        </w:rPr>
        <w:t xml:space="preserve">  хил. Лв –1</w:t>
      </w:r>
      <w:r w:rsidR="00031BFD">
        <w:rPr>
          <w:rFonts w:asciiTheme="majorHAnsi" w:hAnsiTheme="majorHAnsi" w:cs="Arial"/>
          <w:lang w:eastAsia="ar-SA"/>
        </w:rPr>
        <w:t>4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Абонаментна поддръжка  на апаратура – </w:t>
      </w:r>
      <w:r w:rsidR="00F7153B">
        <w:rPr>
          <w:rFonts w:asciiTheme="majorHAnsi" w:hAnsiTheme="majorHAnsi" w:cs="Arial"/>
          <w:lang w:eastAsia="ar-SA"/>
        </w:rPr>
        <w:t>42</w:t>
      </w:r>
      <w:r w:rsidRPr="00F45F76">
        <w:rPr>
          <w:rFonts w:asciiTheme="majorHAnsi" w:hAnsiTheme="majorHAnsi" w:cs="Arial"/>
          <w:lang w:eastAsia="ar-SA"/>
        </w:rPr>
        <w:t xml:space="preserve">  хил. лв – </w:t>
      </w:r>
      <w:r w:rsidR="00031BFD">
        <w:rPr>
          <w:rFonts w:asciiTheme="majorHAnsi" w:hAnsiTheme="majorHAnsi" w:cs="Arial"/>
          <w:lang w:eastAsia="ar-SA"/>
        </w:rPr>
        <w:t>9</w:t>
      </w:r>
      <w:r w:rsidRPr="00F45F76">
        <w:rPr>
          <w:rFonts w:asciiTheme="majorHAnsi" w:hAnsiTheme="majorHAnsi" w:cs="Arial"/>
          <w:lang w:eastAsia="ar-SA"/>
        </w:rPr>
        <w:t xml:space="preserve">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Транспорт на пациенти на хрониодиализа – </w:t>
      </w:r>
      <w:r w:rsidR="00031BFD">
        <w:rPr>
          <w:rFonts w:asciiTheme="majorHAnsi" w:hAnsiTheme="majorHAnsi" w:cs="Arial"/>
          <w:lang w:eastAsia="ar-SA"/>
        </w:rPr>
        <w:t>55</w:t>
      </w:r>
      <w:r w:rsidRPr="00F45F76">
        <w:rPr>
          <w:rFonts w:asciiTheme="majorHAnsi" w:hAnsiTheme="majorHAnsi" w:cs="Arial"/>
          <w:lang w:eastAsia="ar-SA"/>
        </w:rPr>
        <w:t xml:space="preserve"> хил.лв – 12%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Други ВУ –хил.лв </w:t>
      </w:r>
      <w:r w:rsidR="00031BFD">
        <w:rPr>
          <w:rFonts w:asciiTheme="majorHAnsi" w:hAnsiTheme="majorHAnsi" w:cs="Arial"/>
          <w:lang w:eastAsia="ar-SA"/>
        </w:rPr>
        <w:t>112</w:t>
      </w:r>
      <w:r w:rsidRPr="00F45F76">
        <w:rPr>
          <w:rFonts w:asciiTheme="majorHAnsi" w:hAnsiTheme="majorHAnsi" w:cs="Arial"/>
          <w:lang w:eastAsia="ar-SA"/>
        </w:rPr>
        <w:t xml:space="preserve">  хил. лв – </w:t>
      </w:r>
      <w:r w:rsidR="00031BFD">
        <w:rPr>
          <w:rFonts w:asciiTheme="majorHAnsi" w:hAnsiTheme="majorHAnsi" w:cs="Arial"/>
          <w:lang w:eastAsia="ar-SA"/>
        </w:rPr>
        <w:t>25</w:t>
      </w:r>
      <w:r w:rsidRPr="00F45F76">
        <w:rPr>
          <w:rFonts w:asciiTheme="majorHAnsi" w:hAnsiTheme="majorHAnsi" w:cs="Arial"/>
          <w:lang w:eastAsia="ar-SA"/>
        </w:rPr>
        <w:t xml:space="preserve">  %</w:t>
      </w:r>
    </w:p>
    <w:p w:rsidR="00F45F76" w:rsidRPr="00F45F76" w:rsidRDefault="00F45F76" w:rsidP="00F45F76">
      <w:pPr>
        <w:numPr>
          <w:ilvl w:val="0"/>
          <w:numId w:val="20"/>
        </w:numPr>
        <w:ind w:left="284" w:firstLine="0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Общо разходи за ВУ – </w:t>
      </w:r>
      <w:r w:rsidR="00031BFD">
        <w:rPr>
          <w:rFonts w:asciiTheme="majorHAnsi" w:hAnsiTheme="majorHAnsi" w:cs="Arial"/>
          <w:lang w:eastAsia="ar-SA"/>
        </w:rPr>
        <w:t>459</w:t>
      </w:r>
      <w:r w:rsidRPr="00F45F76">
        <w:rPr>
          <w:rFonts w:asciiTheme="majorHAnsi" w:hAnsiTheme="majorHAnsi" w:cs="Arial"/>
          <w:lang w:eastAsia="ar-SA"/>
        </w:rPr>
        <w:t xml:space="preserve"> хил.лв</w:t>
      </w:r>
    </w:p>
    <w:p w:rsidR="00F45F76" w:rsidRPr="00F45F76" w:rsidRDefault="00F45F76" w:rsidP="00F45F76">
      <w:pPr>
        <w:ind w:left="709"/>
        <w:rPr>
          <w:rFonts w:asciiTheme="majorHAnsi" w:hAnsiTheme="majorHAnsi" w:cs="Arial"/>
          <w:lang w:eastAsia="ar-SA"/>
        </w:rPr>
      </w:pPr>
    </w:p>
    <w:p w:rsidR="00F45F76" w:rsidRPr="008F1D8A" w:rsidRDefault="00F45F76" w:rsidP="00F45F76">
      <w:pPr>
        <w:pStyle w:val="4"/>
        <w:ind w:left="-709" w:right="180" w:firstLine="425"/>
        <w:jc w:val="left"/>
        <w:rPr>
          <w:rFonts w:ascii="Arial Narrow" w:hAnsi="Arial Narrow"/>
          <w:szCs w:val="24"/>
        </w:rPr>
      </w:pPr>
      <w:r>
        <w:rPr>
          <w:noProof/>
          <w:lang w:eastAsia="bg-BG"/>
        </w:rPr>
        <w:drawing>
          <wp:inline distT="0" distB="0" distL="0" distR="0">
            <wp:extent cx="5762625" cy="3038475"/>
            <wp:effectExtent l="0" t="0" r="0" b="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031BFD">
        <w:rPr>
          <w:rFonts w:asciiTheme="majorHAnsi" w:hAnsiTheme="majorHAnsi" w:cs="Arial"/>
          <w:b/>
          <w:lang w:eastAsia="ar-SA"/>
        </w:rPr>
        <w:t>Разходите за възнаграждения</w:t>
      </w:r>
      <w:r w:rsidRPr="00F45F76">
        <w:rPr>
          <w:rFonts w:asciiTheme="majorHAnsi" w:hAnsiTheme="majorHAnsi" w:cs="Arial"/>
          <w:lang w:eastAsia="ar-SA"/>
        </w:rPr>
        <w:t xml:space="preserve"> на управителните органи, работниците и служителите по трудови правоотношения за отчетния период са общо </w:t>
      </w:r>
      <w:r w:rsidR="00031BFD">
        <w:rPr>
          <w:rFonts w:asciiTheme="majorHAnsi" w:hAnsiTheme="majorHAnsi" w:cs="Arial"/>
          <w:lang w:eastAsia="ar-SA"/>
        </w:rPr>
        <w:t>2 853</w:t>
      </w:r>
      <w:r w:rsidRPr="00F45F76">
        <w:rPr>
          <w:rFonts w:asciiTheme="majorHAnsi" w:hAnsiTheme="majorHAnsi" w:cs="Arial"/>
          <w:lang w:eastAsia="ar-SA"/>
        </w:rPr>
        <w:t xml:space="preserve">  хил.лева, </w:t>
      </w:r>
      <w:r w:rsidR="00031BFD">
        <w:rPr>
          <w:rFonts w:asciiTheme="majorHAnsi" w:hAnsiTheme="majorHAnsi" w:cs="Arial"/>
          <w:lang w:eastAsia="ar-SA"/>
        </w:rPr>
        <w:t>което представлява 53,8% от разходи за дейността.</w:t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>Разходи за стари отпуски, ползвани през 201</w:t>
      </w:r>
      <w:r w:rsidR="00031BFD">
        <w:rPr>
          <w:rFonts w:asciiTheme="majorHAnsi" w:hAnsiTheme="majorHAnsi" w:cs="Arial"/>
          <w:lang w:eastAsia="ar-SA"/>
        </w:rPr>
        <w:t>6</w:t>
      </w:r>
      <w:r w:rsidRPr="00F45F76">
        <w:rPr>
          <w:rFonts w:asciiTheme="majorHAnsi" w:hAnsiTheme="majorHAnsi" w:cs="Arial"/>
          <w:lang w:eastAsia="ar-SA"/>
        </w:rPr>
        <w:t xml:space="preserve"> година - / - </w:t>
      </w:r>
      <w:r w:rsidR="00031BFD">
        <w:rPr>
          <w:rFonts w:asciiTheme="majorHAnsi" w:hAnsiTheme="majorHAnsi" w:cs="Arial"/>
          <w:lang w:eastAsia="ar-SA"/>
        </w:rPr>
        <w:t>5</w:t>
      </w:r>
      <w:r w:rsidRPr="00F45F76">
        <w:rPr>
          <w:rFonts w:asciiTheme="majorHAnsi" w:hAnsiTheme="majorHAnsi" w:cs="Arial"/>
          <w:lang w:eastAsia="ar-SA"/>
        </w:rPr>
        <w:t>9 х.лв/</w:t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 Върху изплатените суми са начислени и внесени осигуровки за фондовете на ДОО, здравно осигуряване, допълнително пенсионно осигуряване.</w:t>
      </w:r>
    </w:p>
    <w:p w:rsid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>Начислени разходи за осигуровки, свързани с неползвани отпуски за 201</w:t>
      </w:r>
      <w:r w:rsidR="00031BFD">
        <w:rPr>
          <w:rFonts w:asciiTheme="majorHAnsi" w:hAnsiTheme="majorHAnsi" w:cs="Arial"/>
          <w:lang w:eastAsia="ar-SA"/>
        </w:rPr>
        <w:t>6</w:t>
      </w:r>
      <w:r w:rsidRPr="00F45F76">
        <w:rPr>
          <w:rFonts w:asciiTheme="majorHAnsi" w:hAnsiTheme="majorHAnsi" w:cs="Arial"/>
          <w:lang w:eastAsia="ar-SA"/>
        </w:rPr>
        <w:t xml:space="preserve"> година – 1</w:t>
      </w:r>
      <w:r w:rsidR="00031BFD">
        <w:rPr>
          <w:rFonts w:asciiTheme="majorHAnsi" w:hAnsiTheme="majorHAnsi" w:cs="Arial"/>
          <w:lang w:eastAsia="ar-SA"/>
        </w:rPr>
        <w:t>1</w:t>
      </w:r>
      <w:r w:rsidRPr="00F45F76">
        <w:rPr>
          <w:rFonts w:asciiTheme="majorHAnsi" w:hAnsiTheme="majorHAnsi" w:cs="Arial"/>
          <w:lang w:eastAsia="ar-SA"/>
        </w:rPr>
        <w:t xml:space="preserve"> хил.лв</w:t>
      </w:r>
    </w:p>
    <w:p w:rsidR="00031BFD" w:rsidRPr="00F45F76" w:rsidRDefault="00031BFD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>
        <w:rPr>
          <w:rFonts w:asciiTheme="majorHAnsi" w:hAnsiTheme="majorHAnsi" w:cs="Arial"/>
          <w:lang w:eastAsia="ar-SA"/>
        </w:rPr>
        <w:lastRenderedPageBreak/>
        <w:t>Средна брутна работна заплата – 932 лева.</w:t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0717C5">
        <w:rPr>
          <w:rFonts w:asciiTheme="majorHAnsi" w:hAnsiTheme="majorHAnsi" w:cs="Arial"/>
          <w:b/>
          <w:lang w:eastAsia="ar-SA"/>
        </w:rPr>
        <w:t>Отчетните стойности на продадени материали</w:t>
      </w:r>
      <w:r w:rsidRPr="00F45F76">
        <w:rPr>
          <w:rFonts w:asciiTheme="majorHAnsi" w:hAnsiTheme="majorHAnsi" w:cs="Arial"/>
          <w:lang w:eastAsia="ar-SA"/>
        </w:rPr>
        <w:t xml:space="preserve"> са в размер на </w:t>
      </w:r>
      <w:r w:rsidR="000717C5">
        <w:rPr>
          <w:rFonts w:asciiTheme="majorHAnsi" w:hAnsiTheme="majorHAnsi" w:cs="Arial"/>
          <w:lang w:eastAsia="ar-SA"/>
        </w:rPr>
        <w:t>5</w:t>
      </w:r>
      <w:r w:rsidRPr="00F45F76">
        <w:rPr>
          <w:rFonts w:asciiTheme="majorHAnsi" w:hAnsiTheme="majorHAnsi" w:cs="Arial"/>
          <w:lang w:eastAsia="ar-SA"/>
        </w:rPr>
        <w:t>6 хил.лева  и представляват продадени медикаменти на други лечебни заведения, съгласно сключените договори.</w:t>
      </w:r>
    </w:p>
    <w:p w:rsidR="000717C5" w:rsidRDefault="000717C5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F45F76">
        <w:rPr>
          <w:rFonts w:asciiTheme="majorHAnsi" w:hAnsiTheme="majorHAnsi" w:cs="Arial"/>
          <w:lang w:eastAsia="ar-SA"/>
        </w:rPr>
        <w:t xml:space="preserve">По статия </w:t>
      </w:r>
      <w:r w:rsidRPr="00F45F76">
        <w:rPr>
          <w:rFonts w:asciiTheme="majorHAnsi" w:hAnsiTheme="majorHAnsi" w:cs="Arial"/>
          <w:b/>
          <w:bCs/>
          <w:lang w:eastAsia="ar-SA"/>
        </w:rPr>
        <w:t>Финансови разходи</w:t>
      </w:r>
      <w:r w:rsidRPr="00F45F76">
        <w:rPr>
          <w:rFonts w:asciiTheme="majorHAnsi" w:hAnsiTheme="majorHAnsi" w:cs="Arial"/>
          <w:lang w:eastAsia="ar-SA"/>
        </w:rPr>
        <w:t xml:space="preserve"> са посочени разходи за лихви към търговски контрагенти в размер на </w:t>
      </w:r>
      <w:r w:rsidR="00AF681C">
        <w:rPr>
          <w:rFonts w:asciiTheme="majorHAnsi" w:hAnsiTheme="majorHAnsi" w:cs="Arial"/>
          <w:lang w:eastAsia="ar-SA"/>
        </w:rPr>
        <w:t>19</w:t>
      </w:r>
      <w:r w:rsidRPr="00F45F76">
        <w:rPr>
          <w:rFonts w:asciiTheme="majorHAnsi" w:hAnsiTheme="majorHAnsi" w:cs="Arial"/>
          <w:lang w:eastAsia="ar-SA"/>
        </w:rPr>
        <w:t xml:space="preserve"> хил.лв, лихви към бюджета в размер на </w:t>
      </w:r>
      <w:r w:rsidR="00AF681C">
        <w:rPr>
          <w:rFonts w:asciiTheme="majorHAnsi" w:hAnsiTheme="majorHAnsi" w:cs="Arial"/>
          <w:lang w:eastAsia="ar-SA"/>
        </w:rPr>
        <w:t>1</w:t>
      </w:r>
      <w:r w:rsidRPr="00F45F76">
        <w:rPr>
          <w:rFonts w:asciiTheme="majorHAnsi" w:hAnsiTheme="majorHAnsi" w:cs="Arial"/>
          <w:lang w:eastAsia="ar-SA"/>
        </w:rPr>
        <w:t xml:space="preserve"> хил. лв и разходи за банкови такси в размер на </w:t>
      </w:r>
      <w:r w:rsidR="00AF681C">
        <w:rPr>
          <w:rFonts w:asciiTheme="majorHAnsi" w:hAnsiTheme="majorHAnsi" w:cs="Arial"/>
          <w:lang w:eastAsia="ar-SA"/>
        </w:rPr>
        <w:t>2</w:t>
      </w:r>
      <w:r w:rsidRPr="00F45F76">
        <w:rPr>
          <w:rFonts w:asciiTheme="majorHAnsi" w:hAnsiTheme="majorHAnsi" w:cs="Arial"/>
          <w:lang w:eastAsia="ar-SA"/>
        </w:rPr>
        <w:t xml:space="preserve">  х.лв.</w:t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AF681C">
        <w:rPr>
          <w:rFonts w:asciiTheme="majorHAnsi" w:hAnsiTheme="majorHAnsi" w:cs="Arial"/>
          <w:lang w:eastAsia="ar-SA"/>
        </w:rPr>
        <w:t>В</w:t>
      </w:r>
      <w:r w:rsidRPr="00AF681C">
        <w:rPr>
          <w:rFonts w:asciiTheme="majorHAnsi" w:hAnsiTheme="majorHAnsi" w:cs="Arial"/>
          <w:b/>
          <w:lang w:eastAsia="ar-SA"/>
        </w:rPr>
        <w:t xml:space="preserve"> „Нетни приходи от продажби”</w:t>
      </w:r>
      <w:r w:rsidRPr="00F45F76">
        <w:rPr>
          <w:rFonts w:asciiTheme="majorHAnsi" w:hAnsiTheme="majorHAnsi" w:cs="Arial"/>
          <w:lang w:eastAsia="ar-SA"/>
        </w:rPr>
        <w:t xml:space="preserve"> са включени приходи от РЗОК , потребителски такси, медицински услуги, клинични проучвания, приходи от наеми и  други.</w:t>
      </w: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</w:p>
    <w:p w:rsidR="00F45F76" w:rsidRPr="00F45F76" w:rsidRDefault="00F45F76" w:rsidP="00F45F7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-284" w:right="-426" w:firstLine="0"/>
        <w:rPr>
          <w:rFonts w:asciiTheme="majorHAnsi" w:hAnsiTheme="majorHAnsi"/>
          <w:color w:val="000000"/>
          <w:w w:val="107"/>
        </w:rPr>
      </w:pPr>
      <w:r w:rsidRPr="00F45F76">
        <w:rPr>
          <w:rFonts w:asciiTheme="majorHAnsi" w:hAnsiTheme="majorHAnsi"/>
          <w:color w:val="000000"/>
          <w:w w:val="107"/>
        </w:rPr>
        <w:t xml:space="preserve">Приходи от НЗОК – </w:t>
      </w:r>
      <w:r w:rsidR="002E1B2F">
        <w:rPr>
          <w:rFonts w:asciiTheme="majorHAnsi" w:hAnsiTheme="majorHAnsi"/>
          <w:color w:val="000000"/>
          <w:w w:val="107"/>
        </w:rPr>
        <w:t>4571</w:t>
      </w:r>
      <w:r w:rsidRPr="00F45F76">
        <w:rPr>
          <w:rFonts w:asciiTheme="majorHAnsi" w:hAnsiTheme="majorHAnsi"/>
          <w:color w:val="000000"/>
          <w:w w:val="107"/>
        </w:rPr>
        <w:t xml:space="preserve">   хил.лв -  96  %</w:t>
      </w:r>
    </w:p>
    <w:p w:rsidR="00F45F76" w:rsidRPr="00F45F76" w:rsidRDefault="00F45F76" w:rsidP="00F45F7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-284" w:right="-426" w:firstLine="0"/>
        <w:rPr>
          <w:rFonts w:asciiTheme="majorHAnsi" w:hAnsiTheme="majorHAnsi"/>
          <w:color w:val="000000"/>
          <w:w w:val="107"/>
        </w:rPr>
      </w:pPr>
      <w:r w:rsidRPr="00F45F76">
        <w:rPr>
          <w:rFonts w:asciiTheme="majorHAnsi" w:hAnsiTheme="majorHAnsi"/>
          <w:color w:val="000000"/>
          <w:w w:val="107"/>
        </w:rPr>
        <w:t xml:space="preserve">Приходи от потребителски такси – </w:t>
      </w:r>
      <w:r w:rsidR="002E1B2F">
        <w:rPr>
          <w:rFonts w:asciiTheme="majorHAnsi" w:hAnsiTheme="majorHAnsi"/>
          <w:color w:val="000000"/>
          <w:w w:val="107"/>
        </w:rPr>
        <w:t>59</w:t>
      </w:r>
      <w:r w:rsidRPr="00F45F76">
        <w:rPr>
          <w:rFonts w:asciiTheme="majorHAnsi" w:hAnsiTheme="majorHAnsi"/>
          <w:color w:val="000000"/>
          <w:w w:val="107"/>
        </w:rPr>
        <w:t xml:space="preserve">  хил.лв – 1  %</w:t>
      </w:r>
    </w:p>
    <w:p w:rsidR="00F45F76" w:rsidRPr="00F45F76" w:rsidRDefault="00F45F76" w:rsidP="00F45F7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-284" w:right="-426" w:firstLine="0"/>
        <w:rPr>
          <w:rFonts w:asciiTheme="majorHAnsi" w:hAnsiTheme="majorHAnsi"/>
          <w:color w:val="000000"/>
          <w:w w:val="107"/>
        </w:rPr>
      </w:pPr>
      <w:r w:rsidRPr="00F45F76">
        <w:rPr>
          <w:rFonts w:asciiTheme="majorHAnsi" w:hAnsiTheme="majorHAnsi"/>
          <w:color w:val="000000"/>
          <w:w w:val="107"/>
        </w:rPr>
        <w:t xml:space="preserve">Приходи от клинични проучвания – </w:t>
      </w:r>
      <w:r w:rsidR="002E1B2F">
        <w:rPr>
          <w:rFonts w:asciiTheme="majorHAnsi" w:hAnsiTheme="majorHAnsi"/>
          <w:color w:val="000000"/>
          <w:w w:val="107"/>
        </w:rPr>
        <w:t>18</w:t>
      </w:r>
      <w:r w:rsidRPr="00F45F76">
        <w:rPr>
          <w:rFonts w:asciiTheme="majorHAnsi" w:hAnsiTheme="majorHAnsi"/>
          <w:color w:val="000000"/>
          <w:w w:val="107"/>
        </w:rPr>
        <w:t xml:space="preserve">  хил. лв – </w:t>
      </w:r>
      <w:r w:rsidR="002E1B2F">
        <w:rPr>
          <w:rFonts w:asciiTheme="majorHAnsi" w:hAnsiTheme="majorHAnsi"/>
          <w:color w:val="000000"/>
          <w:w w:val="107"/>
        </w:rPr>
        <w:t>0,4</w:t>
      </w:r>
      <w:r w:rsidRPr="00F45F76">
        <w:rPr>
          <w:rFonts w:asciiTheme="majorHAnsi" w:hAnsiTheme="majorHAnsi"/>
          <w:color w:val="000000"/>
          <w:w w:val="107"/>
        </w:rPr>
        <w:t xml:space="preserve">  %</w:t>
      </w:r>
    </w:p>
    <w:p w:rsidR="00F45F76" w:rsidRPr="00F45F76" w:rsidRDefault="00F45F76" w:rsidP="00F45F7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-284" w:right="-426" w:firstLine="0"/>
        <w:rPr>
          <w:rFonts w:asciiTheme="majorHAnsi" w:hAnsiTheme="majorHAnsi"/>
          <w:color w:val="000000"/>
          <w:w w:val="107"/>
        </w:rPr>
      </w:pPr>
      <w:r w:rsidRPr="00F45F76">
        <w:rPr>
          <w:rFonts w:asciiTheme="majorHAnsi" w:hAnsiTheme="majorHAnsi"/>
          <w:color w:val="000000"/>
          <w:w w:val="107"/>
        </w:rPr>
        <w:t xml:space="preserve">Други приходи  – </w:t>
      </w:r>
      <w:r w:rsidR="002E1B2F">
        <w:rPr>
          <w:rFonts w:asciiTheme="majorHAnsi" w:hAnsiTheme="majorHAnsi"/>
          <w:color w:val="000000"/>
          <w:w w:val="107"/>
        </w:rPr>
        <w:t>90</w:t>
      </w:r>
      <w:r w:rsidRPr="00F45F76">
        <w:rPr>
          <w:rFonts w:asciiTheme="majorHAnsi" w:hAnsiTheme="majorHAnsi"/>
          <w:color w:val="000000"/>
          <w:w w:val="107"/>
        </w:rPr>
        <w:t xml:space="preserve"> хил. лв</w:t>
      </w:r>
    </w:p>
    <w:p w:rsidR="00F45F76" w:rsidRPr="00F45F76" w:rsidRDefault="00F45F76" w:rsidP="00F45F76">
      <w:pPr>
        <w:widowControl w:val="0"/>
        <w:autoSpaceDE w:val="0"/>
        <w:autoSpaceDN w:val="0"/>
        <w:adjustRightInd w:val="0"/>
        <w:ind w:left="-284" w:right="-426"/>
        <w:rPr>
          <w:rFonts w:asciiTheme="majorHAnsi" w:hAnsiTheme="majorHAnsi"/>
          <w:color w:val="000000"/>
          <w:w w:val="107"/>
        </w:rPr>
      </w:pPr>
      <w:r w:rsidRPr="00F45F76">
        <w:rPr>
          <w:rFonts w:asciiTheme="majorHAnsi" w:hAnsiTheme="majorHAnsi" w:cs="Arial"/>
          <w:lang w:eastAsia="ar-SA"/>
        </w:rPr>
        <w:t xml:space="preserve">Общо  „„Нетни приходи от продажби” </w:t>
      </w:r>
      <w:r w:rsidRPr="00F45F76">
        <w:rPr>
          <w:rFonts w:asciiTheme="majorHAnsi" w:hAnsiTheme="majorHAnsi"/>
          <w:color w:val="000000"/>
          <w:w w:val="107"/>
        </w:rPr>
        <w:t xml:space="preserve">– </w:t>
      </w:r>
      <w:r w:rsidR="002E1B2F">
        <w:rPr>
          <w:rFonts w:asciiTheme="majorHAnsi" w:hAnsiTheme="majorHAnsi"/>
          <w:color w:val="000000"/>
          <w:w w:val="107"/>
        </w:rPr>
        <w:t>4 738</w:t>
      </w:r>
      <w:r w:rsidRPr="00F45F76">
        <w:rPr>
          <w:rFonts w:asciiTheme="majorHAnsi" w:hAnsiTheme="majorHAnsi"/>
          <w:color w:val="000000"/>
          <w:w w:val="107"/>
        </w:rPr>
        <w:t xml:space="preserve">    хил.лева</w:t>
      </w:r>
    </w:p>
    <w:p w:rsidR="00F45F76" w:rsidRPr="00F45F76" w:rsidRDefault="00F45F76" w:rsidP="00F45F76">
      <w:pPr>
        <w:widowControl w:val="0"/>
        <w:autoSpaceDE w:val="0"/>
        <w:autoSpaceDN w:val="0"/>
        <w:adjustRightInd w:val="0"/>
        <w:ind w:left="-284" w:right="-426"/>
        <w:rPr>
          <w:rFonts w:asciiTheme="majorHAnsi" w:hAnsiTheme="majorHAnsi"/>
          <w:color w:val="000000"/>
          <w:w w:val="107"/>
        </w:rPr>
      </w:pPr>
    </w:p>
    <w:p w:rsidR="00F45F76" w:rsidRPr="00F45F76" w:rsidRDefault="00F45F76" w:rsidP="00F45F76">
      <w:pPr>
        <w:spacing w:before="120"/>
        <w:ind w:left="-284" w:right="-426"/>
        <w:rPr>
          <w:rFonts w:asciiTheme="majorHAnsi" w:hAnsiTheme="majorHAnsi" w:cs="Arial"/>
          <w:lang w:eastAsia="ar-SA"/>
        </w:rPr>
      </w:pPr>
      <w:r w:rsidRPr="002E1B2F">
        <w:rPr>
          <w:rFonts w:asciiTheme="majorHAnsi" w:hAnsiTheme="majorHAnsi" w:cs="Arial"/>
          <w:b/>
          <w:lang w:eastAsia="ar-SA"/>
        </w:rPr>
        <w:t>В „</w:t>
      </w:r>
      <w:r w:rsidR="002E1B2F">
        <w:rPr>
          <w:rFonts w:asciiTheme="majorHAnsi" w:hAnsiTheme="majorHAnsi" w:cs="Arial"/>
          <w:b/>
          <w:lang w:eastAsia="ar-SA"/>
        </w:rPr>
        <w:t>П</w:t>
      </w:r>
      <w:r w:rsidRPr="002E1B2F">
        <w:rPr>
          <w:rFonts w:asciiTheme="majorHAnsi" w:hAnsiTheme="majorHAnsi" w:cs="Arial"/>
          <w:b/>
          <w:lang w:eastAsia="ar-SA"/>
        </w:rPr>
        <w:t>риходи</w:t>
      </w:r>
      <w:r w:rsidR="002E1B2F">
        <w:rPr>
          <w:rFonts w:asciiTheme="majorHAnsi" w:hAnsiTheme="majorHAnsi" w:cs="Arial"/>
          <w:b/>
          <w:lang w:eastAsia="ar-SA"/>
        </w:rPr>
        <w:t xml:space="preserve"> от финансирания</w:t>
      </w:r>
      <w:r w:rsidRPr="002E1B2F">
        <w:rPr>
          <w:rFonts w:asciiTheme="majorHAnsi" w:hAnsiTheme="majorHAnsi" w:cs="Arial"/>
          <w:b/>
          <w:lang w:eastAsia="ar-SA"/>
        </w:rPr>
        <w:t>”</w:t>
      </w:r>
      <w:r w:rsidRPr="00F45F76">
        <w:rPr>
          <w:rFonts w:asciiTheme="majorHAnsi" w:hAnsiTheme="majorHAnsi" w:cs="Arial"/>
          <w:lang w:eastAsia="ar-SA"/>
        </w:rPr>
        <w:t xml:space="preserve"> са включени</w:t>
      </w:r>
      <w:r w:rsidR="002E1B2F">
        <w:rPr>
          <w:rFonts w:asciiTheme="majorHAnsi" w:hAnsiTheme="majorHAnsi" w:cs="Arial"/>
          <w:lang w:eastAsia="ar-SA"/>
        </w:rPr>
        <w:t>:</w:t>
      </w:r>
    </w:p>
    <w:p w:rsidR="00F45F76" w:rsidRPr="00984B7B" w:rsidRDefault="00F45F76" w:rsidP="00F45F7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-284" w:right="-426" w:firstLine="0"/>
        <w:rPr>
          <w:rFonts w:asciiTheme="majorHAnsi" w:hAnsiTheme="majorHAnsi"/>
          <w:color w:val="000000"/>
          <w:w w:val="107"/>
        </w:rPr>
      </w:pPr>
      <w:r w:rsidRPr="00984B7B">
        <w:rPr>
          <w:rFonts w:asciiTheme="majorHAnsi" w:hAnsiTheme="majorHAnsi"/>
          <w:color w:val="000000"/>
          <w:w w:val="107"/>
        </w:rPr>
        <w:t>Приходи от МЗ за дейност –</w:t>
      </w:r>
      <w:r w:rsidR="00F33956" w:rsidRPr="00984B7B">
        <w:rPr>
          <w:rFonts w:asciiTheme="majorHAnsi" w:hAnsiTheme="majorHAnsi"/>
          <w:color w:val="000000"/>
          <w:w w:val="107"/>
        </w:rPr>
        <w:t xml:space="preserve"> 1</w:t>
      </w:r>
      <w:r w:rsidR="00984B7B">
        <w:rPr>
          <w:rFonts w:asciiTheme="majorHAnsi" w:hAnsiTheme="majorHAnsi"/>
          <w:color w:val="000000"/>
          <w:w w:val="107"/>
        </w:rPr>
        <w:t>49</w:t>
      </w:r>
      <w:r w:rsidRPr="00984B7B">
        <w:rPr>
          <w:rFonts w:asciiTheme="majorHAnsi" w:hAnsiTheme="majorHAnsi"/>
          <w:color w:val="000000"/>
          <w:w w:val="107"/>
        </w:rPr>
        <w:t xml:space="preserve">  хил. лв </w:t>
      </w:r>
    </w:p>
    <w:p w:rsidR="00F45F76" w:rsidRPr="00984B7B" w:rsidRDefault="00F45F76" w:rsidP="00F45F76">
      <w:pPr>
        <w:numPr>
          <w:ilvl w:val="0"/>
          <w:numId w:val="17"/>
        </w:numPr>
        <w:ind w:left="-284" w:right="-426" w:firstLine="0"/>
        <w:rPr>
          <w:rFonts w:asciiTheme="majorHAnsi" w:hAnsiTheme="majorHAnsi" w:cs="Arial"/>
          <w:lang w:eastAsia="ar-SA"/>
        </w:rPr>
      </w:pPr>
      <w:r w:rsidRPr="00984B7B">
        <w:rPr>
          <w:rFonts w:asciiTheme="majorHAnsi" w:hAnsiTheme="majorHAnsi" w:cs="Arial"/>
          <w:lang w:eastAsia="ar-SA"/>
        </w:rPr>
        <w:t>Приходи от</w:t>
      </w:r>
      <w:r w:rsidR="00F33956" w:rsidRPr="00984B7B">
        <w:rPr>
          <w:rFonts w:asciiTheme="majorHAnsi" w:hAnsiTheme="majorHAnsi" w:cs="Arial"/>
          <w:lang w:eastAsia="ar-SA"/>
        </w:rPr>
        <w:t xml:space="preserve"> МЗ за отдалеченост</w:t>
      </w:r>
      <w:r w:rsidRPr="00984B7B">
        <w:rPr>
          <w:rFonts w:asciiTheme="majorHAnsi" w:hAnsiTheme="majorHAnsi" w:cs="Arial"/>
          <w:lang w:eastAsia="ar-SA"/>
        </w:rPr>
        <w:t xml:space="preserve"> – </w:t>
      </w:r>
      <w:r w:rsidR="00F33956" w:rsidRPr="00984B7B">
        <w:rPr>
          <w:rFonts w:asciiTheme="majorHAnsi" w:hAnsiTheme="majorHAnsi" w:cs="Arial"/>
          <w:lang w:eastAsia="ar-SA"/>
        </w:rPr>
        <w:t>130</w:t>
      </w:r>
      <w:r w:rsidRPr="00984B7B">
        <w:rPr>
          <w:rFonts w:asciiTheme="majorHAnsi" w:hAnsiTheme="majorHAnsi" w:cs="Arial"/>
          <w:lang w:eastAsia="ar-SA"/>
        </w:rPr>
        <w:t xml:space="preserve"> хил.лв</w:t>
      </w:r>
    </w:p>
    <w:p w:rsidR="00F45F76" w:rsidRPr="00984B7B" w:rsidRDefault="00F45F76" w:rsidP="00F45F76">
      <w:pPr>
        <w:numPr>
          <w:ilvl w:val="0"/>
          <w:numId w:val="17"/>
        </w:numPr>
        <w:ind w:left="-284" w:right="-426" w:firstLine="0"/>
        <w:rPr>
          <w:rFonts w:asciiTheme="majorHAnsi" w:hAnsiTheme="majorHAnsi" w:cs="Arial"/>
          <w:lang w:eastAsia="ar-SA"/>
        </w:rPr>
      </w:pPr>
      <w:r w:rsidRPr="00984B7B">
        <w:rPr>
          <w:rFonts w:asciiTheme="majorHAnsi" w:hAnsiTheme="majorHAnsi" w:cs="Arial"/>
          <w:lang w:eastAsia="ar-SA"/>
        </w:rPr>
        <w:t xml:space="preserve">Финансирания за ДМА – </w:t>
      </w:r>
      <w:r w:rsidR="00F33956" w:rsidRPr="00984B7B">
        <w:rPr>
          <w:rFonts w:asciiTheme="majorHAnsi" w:hAnsiTheme="majorHAnsi" w:cs="Arial"/>
          <w:lang w:eastAsia="ar-SA"/>
        </w:rPr>
        <w:t>80</w:t>
      </w:r>
      <w:r w:rsidRPr="00984B7B">
        <w:rPr>
          <w:rFonts w:asciiTheme="majorHAnsi" w:hAnsiTheme="majorHAnsi" w:cs="Arial"/>
          <w:lang w:eastAsia="ar-SA"/>
        </w:rPr>
        <w:t xml:space="preserve"> хил.лв</w:t>
      </w:r>
    </w:p>
    <w:p w:rsidR="00F45F76" w:rsidRDefault="00F45F76" w:rsidP="00F45F76">
      <w:pPr>
        <w:numPr>
          <w:ilvl w:val="0"/>
          <w:numId w:val="17"/>
        </w:numPr>
        <w:ind w:left="-284" w:right="-426" w:firstLine="0"/>
        <w:rPr>
          <w:rFonts w:asciiTheme="majorHAnsi" w:hAnsiTheme="majorHAnsi" w:cs="Arial"/>
          <w:lang w:eastAsia="ar-SA"/>
        </w:rPr>
      </w:pPr>
      <w:r w:rsidRPr="00984B7B">
        <w:rPr>
          <w:rFonts w:asciiTheme="majorHAnsi" w:hAnsiTheme="majorHAnsi" w:cs="Arial"/>
          <w:lang w:eastAsia="ar-SA"/>
        </w:rPr>
        <w:t>Други приходи –</w:t>
      </w:r>
      <w:r w:rsidR="00984B7B">
        <w:rPr>
          <w:rFonts w:asciiTheme="majorHAnsi" w:hAnsiTheme="majorHAnsi" w:cs="Arial"/>
          <w:lang w:eastAsia="ar-SA"/>
        </w:rPr>
        <w:t xml:space="preserve"> 11 </w:t>
      </w:r>
      <w:r w:rsidRPr="00984B7B">
        <w:rPr>
          <w:rFonts w:asciiTheme="majorHAnsi" w:hAnsiTheme="majorHAnsi" w:cs="Arial"/>
          <w:lang w:eastAsia="ar-SA"/>
        </w:rPr>
        <w:t>хил.лв</w:t>
      </w:r>
    </w:p>
    <w:p w:rsidR="00EB67BF" w:rsidRPr="00984B7B" w:rsidRDefault="00EB67BF" w:rsidP="00EB67BF">
      <w:pPr>
        <w:ind w:left="-284" w:right="-426"/>
        <w:rPr>
          <w:rFonts w:asciiTheme="majorHAnsi" w:hAnsiTheme="majorHAnsi" w:cs="Arial"/>
          <w:lang w:eastAsia="ar-SA"/>
        </w:rPr>
      </w:pPr>
    </w:p>
    <w:p w:rsidR="00EB67BF" w:rsidRDefault="00EB67BF" w:rsidP="00EB67BF">
      <w:pPr>
        <w:tabs>
          <w:tab w:val="left" w:pos="9072"/>
        </w:tabs>
        <w:ind w:left="-284" w:right="-284"/>
        <w:rPr>
          <w:rFonts w:asciiTheme="majorHAnsi" w:hAnsiTheme="majorHAnsi"/>
          <w:b/>
          <w:w w:val="103"/>
        </w:rPr>
      </w:pPr>
      <w:r w:rsidRPr="00EB67BF">
        <w:rPr>
          <w:rFonts w:asciiTheme="majorHAnsi" w:hAnsiTheme="majorHAnsi"/>
          <w:b/>
          <w:color w:val="000000"/>
          <w:w w:val="103"/>
        </w:rPr>
        <w:t>Основните цели и задачи, стоящи пред управленския екип през 201</w:t>
      </w:r>
      <w:r>
        <w:rPr>
          <w:rFonts w:asciiTheme="majorHAnsi" w:hAnsiTheme="majorHAnsi"/>
          <w:b/>
          <w:color w:val="000000"/>
          <w:w w:val="103"/>
        </w:rPr>
        <w:t>6</w:t>
      </w:r>
      <w:r w:rsidRPr="00EB67BF">
        <w:rPr>
          <w:rFonts w:asciiTheme="majorHAnsi" w:hAnsiTheme="majorHAnsi"/>
          <w:b/>
          <w:color w:val="000000"/>
          <w:w w:val="103"/>
        </w:rPr>
        <w:t xml:space="preserve"> година, ще бъдат свързани преди всичко със  </w:t>
      </w:r>
      <w:r w:rsidRPr="00EB67BF">
        <w:rPr>
          <w:rFonts w:asciiTheme="majorHAnsi" w:hAnsiTheme="majorHAnsi"/>
          <w:b/>
          <w:w w:val="103"/>
        </w:rPr>
        <w:t>запазване на дружеството в условията на:</w:t>
      </w:r>
    </w:p>
    <w:p w:rsidR="00EB67BF" w:rsidRPr="00EB67BF" w:rsidRDefault="00EB67BF" w:rsidP="00EB67BF">
      <w:pPr>
        <w:tabs>
          <w:tab w:val="left" w:pos="9072"/>
        </w:tabs>
        <w:ind w:left="-284" w:right="-284"/>
        <w:rPr>
          <w:rFonts w:asciiTheme="majorHAnsi" w:hAnsiTheme="majorHAnsi"/>
          <w:b/>
          <w:w w:val="103"/>
        </w:rPr>
      </w:pPr>
    </w:p>
    <w:p w:rsidR="00EB67BF" w:rsidRPr="00EB67BF" w:rsidRDefault="00EB67BF" w:rsidP="00EB67BF">
      <w:pPr>
        <w:numPr>
          <w:ilvl w:val="0"/>
          <w:numId w:val="22"/>
        </w:numPr>
        <w:shd w:val="clear" w:color="auto" w:fill="FFFFFF"/>
        <w:tabs>
          <w:tab w:val="clear" w:pos="780"/>
          <w:tab w:val="num" w:pos="0"/>
          <w:tab w:val="left" w:pos="9072"/>
        </w:tabs>
        <w:ind w:left="-284" w:right="-284" w:firstLine="0"/>
        <w:jc w:val="both"/>
        <w:rPr>
          <w:rFonts w:asciiTheme="majorHAnsi" w:hAnsiTheme="majorHAnsi" w:cs="Helvetica"/>
        </w:rPr>
      </w:pPr>
      <w:r w:rsidRPr="00EB67BF">
        <w:rPr>
          <w:rFonts w:asciiTheme="majorHAnsi" w:hAnsiTheme="majorHAnsi" w:cs="Helvetica"/>
          <w:bCs/>
        </w:rPr>
        <w:t>Продължаващата политиката и практиката на</w:t>
      </w:r>
      <w:r w:rsidRPr="00EB67BF">
        <w:rPr>
          <w:rFonts w:asciiTheme="majorHAnsi" w:hAnsiTheme="majorHAnsi" w:cs="Helvetica"/>
          <w:bdr w:val="none" w:sz="0" w:space="0" w:color="auto" w:frame="1"/>
        </w:rPr>
        <w:t xml:space="preserve"> </w:t>
      </w:r>
      <w:r w:rsidRPr="00EB67BF">
        <w:rPr>
          <w:rFonts w:asciiTheme="majorHAnsi" w:hAnsiTheme="majorHAnsi" w:cs="Helvetica"/>
          <w:bCs/>
        </w:rPr>
        <w:t>хронично недофинансиране на здравеопазването</w:t>
      </w:r>
      <w:r w:rsidRPr="00EB67BF">
        <w:rPr>
          <w:rFonts w:asciiTheme="majorHAnsi" w:hAnsiTheme="majorHAnsi" w:cs="Helvetica"/>
          <w:bdr w:val="none" w:sz="0" w:space="0" w:color="auto" w:frame="1"/>
        </w:rPr>
        <w:t>;</w:t>
      </w:r>
    </w:p>
    <w:p w:rsidR="00E07E7C" w:rsidRPr="00EB67BF" w:rsidRDefault="00E07E7C" w:rsidP="00E07E7C">
      <w:pPr>
        <w:widowControl w:val="0"/>
        <w:numPr>
          <w:ilvl w:val="0"/>
          <w:numId w:val="22"/>
        </w:numPr>
        <w:tabs>
          <w:tab w:val="clear" w:pos="780"/>
          <w:tab w:val="num" w:pos="0"/>
          <w:tab w:val="left" w:pos="9072"/>
        </w:tabs>
        <w:autoSpaceDE w:val="0"/>
        <w:autoSpaceDN w:val="0"/>
        <w:adjustRightInd w:val="0"/>
        <w:ind w:left="-284" w:right="-284" w:firstLine="0"/>
        <w:rPr>
          <w:rFonts w:asciiTheme="majorHAnsi" w:hAnsiTheme="majorHAnsi"/>
          <w:color w:val="000000"/>
          <w:w w:val="111"/>
        </w:rPr>
      </w:pPr>
      <w:r w:rsidRPr="00EB67BF">
        <w:rPr>
          <w:rFonts w:asciiTheme="majorHAnsi" w:hAnsiTheme="majorHAnsi"/>
          <w:color w:val="000000"/>
          <w:w w:val="103"/>
        </w:rPr>
        <w:t xml:space="preserve">липса на достатъчен финансов ресурс, поради въведени делегирани бюджети и ниски цени на клинични пътеки, неосигуряващи нормалното функциониране на лечебното заведение; </w:t>
      </w:r>
    </w:p>
    <w:p w:rsidR="00EB67BF" w:rsidRPr="00EB67BF" w:rsidRDefault="00EB67BF" w:rsidP="00EB67BF">
      <w:pPr>
        <w:numPr>
          <w:ilvl w:val="0"/>
          <w:numId w:val="22"/>
        </w:numPr>
        <w:shd w:val="clear" w:color="auto" w:fill="FFFFFF"/>
        <w:tabs>
          <w:tab w:val="clear" w:pos="780"/>
          <w:tab w:val="left" w:pos="0"/>
          <w:tab w:val="left" w:pos="9072"/>
        </w:tabs>
        <w:ind w:left="-284" w:right="-284" w:firstLine="0"/>
        <w:rPr>
          <w:rFonts w:asciiTheme="majorHAnsi" w:hAnsiTheme="majorHAnsi" w:cs="Helvetica"/>
        </w:rPr>
      </w:pPr>
      <w:r w:rsidRPr="00EB67BF">
        <w:rPr>
          <w:rFonts w:asciiTheme="majorHAnsi" w:hAnsiTheme="majorHAnsi" w:cs="Helvetica"/>
          <w:bCs/>
        </w:rPr>
        <w:t>необоснованите различия в цените на КП и липсваща</w:t>
      </w:r>
      <w:r w:rsidRPr="00EB67BF">
        <w:rPr>
          <w:rFonts w:asciiTheme="majorHAnsi" w:hAnsiTheme="majorHAnsi" w:cs="Helvetica"/>
          <w:bdr w:val="none" w:sz="0" w:space="0" w:color="auto" w:frame="1"/>
        </w:rPr>
        <w:t xml:space="preserve"> </w:t>
      </w:r>
      <w:r w:rsidRPr="00EB67BF">
        <w:rPr>
          <w:rFonts w:asciiTheme="majorHAnsi" w:hAnsiTheme="majorHAnsi" w:cs="Helvetica"/>
          <w:bCs/>
        </w:rPr>
        <w:t xml:space="preserve">каквато и да било връзка между  цените на КП и останалите здравни услуги с развитието на болестта, действително необходимите разходи  и качество, здравен, социален икономически ефект  и ефективност на лечението; </w:t>
      </w:r>
    </w:p>
    <w:p w:rsidR="00EB67BF" w:rsidRPr="00EB67BF" w:rsidRDefault="00EB67BF" w:rsidP="00EB67BF">
      <w:pPr>
        <w:widowControl w:val="0"/>
        <w:numPr>
          <w:ilvl w:val="0"/>
          <w:numId w:val="22"/>
        </w:numPr>
        <w:tabs>
          <w:tab w:val="clear" w:pos="780"/>
          <w:tab w:val="num" w:pos="0"/>
          <w:tab w:val="left" w:pos="9072"/>
        </w:tabs>
        <w:autoSpaceDE w:val="0"/>
        <w:autoSpaceDN w:val="0"/>
        <w:adjustRightInd w:val="0"/>
        <w:ind w:left="-284" w:right="-284" w:firstLine="0"/>
        <w:rPr>
          <w:rFonts w:asciiTheme="majorHAnsi" w:hAnsiTheme="majorHAnsi"/>
          <w:color w:val="000000"/>
          <w:w w:val="111"/>
        </w:rPr>
      </w:pPr>
      <w:r w:rsidRPr="00EB67BF">
        <w:rPr>
          <w:rFonts w:asciiTheme="majorHAnsi" w:hAnsiTheme="majorHAnsi"/>
          <w:color w:val="000000"/>
          <w:w w:val="103"/>
        </w:rPr>
        <w:t>увеличаващ се брой на частни болнични структури;</w:t>
      </w:r>
    </w:p>
    <w:p w:rsidR="00EB67BF" w:rsidRPr="00E07E7C" w:rsidRDefault="00EB67BF" w:rsidP="00EB67BF">
      <w:pPr>
        <w:widowControl w:val="0"/>
        <w:numPr>
          <w:ilvl w:val="0"/>
          <w:numId w:val="22"/>
        </w:numPr>
        <w:tabs>
          <w:tab w:val="clear" w:pos="780"/>
          <w:tab w:val="num" w:pos="0"/>
          <w:tab w:val="left" w:pos="9072"/>
        </w:tabs>
        <w:autoSpaceDE w:val="0"/>
        <w:autoSpaceDN w:val="0"/>
        <w:adjustRightInd w:val="0"/>
        <w:ind w:left="-284" w:right="-284" w:firstLine="0"/>
        <w:rPr>
          <w:rFonts w:asciiTheme="majorHAnsi" w:hAnsiTheme="majorHAnsi"/>
          <w:color w:val="000000"/>
          <w:w w:val="111"/>
        </w:rPr>
      </w:pPr>
      <w:r w:rsidRPr="00E07E7C">
        <w:rPr>
          <w:rFonts w:asciiTheme="majorHAnsi" w:hAnsiTheme="majorHAnsi"/>
          <w:color w:val="000000"/>
          <w:w w:val="103"/>
        </w:rPr>
        <w:t xml:space="preserve"> демотивиран персонал, поради ниското заплащане;</w:t>
      </w:r>
    </w:p>
    <w:p w:rsidR="00EB67BF" w:rsidRPr="00EB67BF" w:rsidRDefault="00EB67BF" w:rsidP="00EB67BF">
      <w:pPr>
        <w:widowControl w:val="0"/>
        <w:numPr>
          <w:ilvl w:val="0"/>
          <w:numId w:val="22"/>
        </w:numPr>
        <w:tabs>
          <w:tab w:val="clear" w:pos="780"/>
          <w:tab w:val="left" w:pos="0"/>
          <w:tab w:val="left" w:pos="9072"/>
        </w:tabs>
        <w:autoSpaceDE w:val="0"/>
        <w:autoSpaceDN w:val="0"/>
        <w:adjustRightInd w:val="0"/>
        <w:ind w:left="-284" w:right="-284" w:firstLine="0"/>
        <w:rPr>
          <w:rFonts w:asciiTheme="majorHAnsi" w:hAnsiTheme="majorHAnsi"/>
          <w:color w:val="000000"/>
          <w:w w:val="111"/>
        </w:rPr>
      </w:pPr>
      <w:r w:rsidRPr="00EB67BF">
        <w:rPr>
          <w:rFonts w:asciiTheme="majorHAnsi" w:hAnsiTheme="majorHAnsi"/>
          <w:color w:val="000000"/>
          <w:w w:val="103"/>
        </w:rPr>
        <w:t>възможност за работа в болничните структури на европейския съюз, осигуряващи многократно по-високо заплащане на труда;</w:t>
      </w:r>
    </w:p>
    <w:p w:rsidR="00EB67BF" w:rsidRPr="00E07E7C" w:rsidRDefault="00EB67BF" w:rsidP="00EB67BF">
      <w:pPr>
        <w:widowControl w:val="0"/>
        <w:numPr>
          <w:ilvl w:val="0"/>
          <w:numId w:val="22"/>
        </w:numPr>
        <w:tabs>
          <w:tab w:val="clear" w:pos="780"/>
          <w:tab w:val="left" w:pos="0"/>
          <w:tab w:val="left" w:pos="9072"/>
        </w:tabs>
        <w:autoSpaceDE w:val="0"/>
        <w:autoSpaceDN w:val="0"/>
        <w:adjustRightInd w:val="0"/>
        <w:ind w:left="-284" w:right="-284" w:firstLine="0"/>
        <w:rPr>
          <w:rFonts w:asciiTheme="majorHAnsi" w:hAnsiTheme="majorHAnsi"/>
          <w:color w:val="000000"/>
          <w:w w:val="111"/>
        </w:rPr>
      </w:pPr>
      <w:r w:rsidRPr="00E07E7C">
        <w:rPr>
          <w:rFonts w:asciiTheme="majorHAnsi" w:hAnsiTheme="majorHAnsi"/>
          <w:color w:val="000000"/>
          <w:w w:val="111"/>
        </w:rPr>
        <w:t>натрупани сериозни задължения към контрагенти в предходните години, по които постоянно се начисляват лихви за просрочие;</w:t>
      </w:r>
    </w:p>
    <w:p w:rsidR="00EB67BF" w:rsidRPr="00E07E7C" w:rsidRDefault="00EB67BF" w:rsidP="00EB67BF">
      <w:pPr>
        <w:numPr>
          <w:ilvl w:val="0"/>
          <w:numId w:val="22"/>
        </w:numPr>
        <w:tabs>
          <w:tab w:val="clear" w:pos="780"/>
          <w:tab w:val="left" w:pos="0"/>
          <w:tab w:val="left" w:pos="9072"/>
        </w:tabs>
        <w:ind w:left="-284" w:right="-284" w:firstLine="0"/>
        <w:rPr>
          <w:rFonts w:asciiTheme="majorHAnsi" w:hAnsiTheme="majorHAnsi"/>
        </w:rPr>
      </w:pPr>
      <w:r w:rsidRPr="00E07E7C">
        <w:rPr>
          <w:rFonts w:asciiTheme="majorHAnsi" w:hAnsiTheme="majorHAnsi"/>
        </w:rPr>
        <w:t>извършване на задължителни по закон, но не заплащани централизирано,  дейности като:</w:t>
      </w:r>
    </w:p>
    <w:p w:rsidR="00EB67BF" w:rsidRPr="00E07E7C" w:rsidRDefault="00EB67BF" w:rsidP="00EB67BF">
      <w:pPr>
        <w:numPr>
          <w:ilvl w:val="0"/>
          <w:numId w:val="23"/>
        </w:numPr>
        <w:tabs>
          <w:tab w:val="clear" w:pos="780"/>
          <w:tab w:val="left" w:pos="0"/>
          <w:tab w:val="left" w:pos="9072"/>
        </w:tabs>
        <w:ind w:left="-284" w:right="-284" w:firstLine="0"/>
        <w:rPr>
          <w:rFonts w:asciiTheme="majorHAnsi" w:hAnsiTheme="majorHAnsi"/>
        </w:rPr>
      </w:pPr>
      <w:r w:rsidRPr="00E07E7C">
        <w:rPr>
          <w:rFonts w:asciiTheme="majorHAnsi" w:hAnsiTheme="majorHAnsi"/>
        </w:rPr>
        <w:t>републикански консултанти;</w:t>
      </w:r>
    </w:p>
    <w:p w:rsidR="00EB67BF" w:rsidRPr="00EB67BF" w:rsidRDefault="00EB67BF" w:rsidP="00EB67BF">
      <w:pPr>
        <w:numPr>
          <w:ilvl w:val="0"/>
          <w:numId w:val="23"/>
        </w:numPr>
        <w:tabs>
          <w:tab w:val="clear" w:pos="780"/>
          <w:tab w:val="left" w:pos="0"/>
          <w:tab w:val="left" w:pos="9072"/>
        </w:tabs>
        <w:ind w:left="-284" w:right="-284" w:firstLine="0"/>
        <w:rPr>
          <w:rFonts w:asciiTheme="majorHAnsi" w:hAnsiTheme="majorHAnsi"/>
        </w:rPr>
      </w:pPr>
      <w:r w:rsidRPr="00EB67BF">
        <w:rPr>
          <w:rFonts w:asciiTheme="majorHAnsi" w:hAnsiTheme="majorHAnsi"/>
        </w:rPr>
        <w:t xml:space="preserve"> разходи на ОАИЛ;</w:t>
      </w:r>
    </w:p>
    <w:p w:rsidR="00EB67BF" w:rsidRPr="000F5E64" w:rsidRDefault="00EB67BF" w:rsidP="00EB67BF">
      <w:pPr>
        <w:numPr>
          <w:ilvl w:val="0"/>
          <w:numId w:val="22"/>
        </w:numPr>
        <w:tabs>
          <w:tab w:val="clear" w:pos="780"/>
          <w:tab w:val="num" w:pos="-284"/>
          <w:tab w:val="left" w:pos="0"/>
          <w:tab w:val="left" w:pos="9072"/>
        </w:tabs>
        <w:ind w:left="-284" w:right="-284" w:firstLine="0"/>
        <w:rPr>
          <w:rFonts w:asciiTheme="majorHAnsi" w:hAnsiTheme="majorHAnsi"/>
          <w:lang w:val="ru-RU"/>
        </w:rPr>
      </w:pPr>
      <w:r w:rsidRPr="00EB67BF">
        <w:rPr>
          <w:rFonts w:asciiTheme="majorHAnsi" w:hAnsiTheme="majorHAnsi"/>
          <w:color w:val="000000"/>
          <w:spacing w:val="-1"/>
        </w:rPr>
        <w:t>ежемесечно намаляване на приходите от страна на РЗОК поради допуснати формални грешки / липса на печат, липса на подпис и други/, независимо, че самата медицинска услуга е извършена, което противоречи на приетия в съвременните икономики принцип -  „ предимство на съдържание пред формата”;</w:t>
      </w:r>
    </w:p>
    <w:p w:rsidR="000F5E64" w:rsidRPr="00EB67BF" w:rsidRDefault="000F5E64" w:rsidP="00EB67BF">
      <w:pPr>
        <w:numPr>
          <w:ilvl w:val="0"/>
          <w:numId w:val="22"/>
        </w:numPr>
        <w:tabs>
          <w:tab w:val="clear" w:pos="780"/>
          <w:tab w:val="num" w:pos="-284"/>
          <w:tab w:val="left" w:pos="0"/>
          <w:tab w:val="left" w:pos="9072"/>
        </w:tabs>
        <w:ind w:left="-284" w:right="-284" w:firstLine="0"/>
        <w:rPr>
          <w:rFonts w:asciiTheme="majorHAnsi" w:hAnsiTheme="majorHAnsi"/>
          <w:lang w:val="ru-RU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>
            <wp:extent cx="5886450" cy="7886265"/>
            <wp:effectExtent l="19050" t="0" r="0" b="0"/>
            <wp:docPr id="3" name="Картина 2" descr="O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7 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035" cy="788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E64" w:rsidRPr="00EB67BF" w:rsidSect="000231B0">
      <w:footerReference w:type="default" r:id="rId11"/>
      <w:pgSz w:w="11906" w:h="16838"/>
      <w:pgMar w:top="56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8B" w:rsidRDefault="003C068B" w:rsidP="000231B0">
      <w:r>
        <w:separator/>
      </w:r>
    </w:p>
  </w:endnote>
  <w:endnote w:type="continuationSeparator" w:id="1">
    <w:p w:rsidR="003C068B" w:rsidRDefault="003C068B" w:rsidP="0002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1279"/>
      <w:docPartObj>
        <w:docPartGallery w:val="Page Numbers (Bottom of Page)"/>
        <w:docPartUnique/>
      </w:docPartObj>
    </w:sdtPr>
    <w:sdtContent>
      <w:p w:rsidR="000231B0" w:rsidRDefault="004723FB">
        <w:pPr>
          <w:pStyle w:val="ab"/>
          <w:jc w:val="center"/>
        </w:pPr>
        <w:fldSimple w:instr=" PAGE   \* MERGEFORMAT ">
          <w:r w:rsidR="000F5E64">
            <w:rPr>
              <w:noProof/>
            </w:rPr>
            <w:t>6</w:t>
          </w:r>
        </w:fldSimple>
      </w:p>
    </w:sdtContent>
  </w:sdt>
  <w:p w:rsidR="000231B0" w:rsidRDefault="000231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8B" w:rsidRDefault="003C068B" w:rsidP="000231B0">
      <w:r>
        <w:separator/>
      </w:r>
    </w:p>
  </w:footnote>
  <w:footnote w:type="continuationSeparator" w:id="1">
    <w:p w:rsidR="003C068B" w:rsidRDefault="003C068B" w:rsidP="0002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4C231C4"/>
    <w:multiLevelType w:val="hybridMultilevel"/>
    <w:tmpl w:val="B6A6B0DA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1E2C38"/>
    <w:multiLevelType w:val="hybridMultilevel"/>
    <w:tmpl w:val="3DC883F4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0A76794"/>
    <w:multiLevelType w:val="hybridMultilevel"/>
    <w:tmpl w:val="D234C72E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7A63B8B"/>
    <w:multiLevelType w:val="hybridMultilevel"/>
    <w:tmpl w:val="3EA0F91A"/>
    <w:lvl w:ilvl="0" w:tplc="040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7EA7DE0"/>
    <w:multiLevelType w:val="hybridMultilevel"/>
    <w:tmpl w:val="95F69D04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75D30C0"/>
    <w:multiLevelType w:val="hybridMultilevel"/>
    <w:tmpl w:val="CA6083F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8A21EA"/>
    <w:multiLevelType w:val="hybridMultilevel"/>
    <w:tmpl w:val="A97EED7E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4E584C"/>
    <w:multiLevelType w:val="hybridMultilevel"/>
    <w:tmpl w:val="35A695FE"/>
    <w:lvl w:ilvl="0" w:tplc="DD50F9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05433"/>
    <w:multiLevelType w:val="hybridMultilevel"/>
    <w:tmpl w:val="EC1695E4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A847EA0"/>
    <w:multiLevelType w:val="hybridMultilevel"/>
    <w:tmpl w:val="1E343B76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067335A"/>
    <w:multiLevelType w:val="hybridMultilevel"/>
    <w:tmpl w:val="713C95F2"/>
    <w:lvl w:ilvl="0" w:tplc="0402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51F4D7F"/>
    <w:multiLevelType w:val="hybridMultilevel"/>
    <w:tmpl w:val="7272F4AE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89A43E6"/>
    <w:multiLevelType w:val="hybridMultilevel"/>
    <w:tmpl w:val="1F0A0D46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91A7D74"/>
    <w:multiLevelType w:val="hybridMultilevel"/>
    <w:tmpl w:val="4A32DF42"/>
    <w:lvl w:ilvl="0" w:tplc="040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92109D7"/>
    <w:multiLevelType w:val="multilevel"/>
    <w:tmpl w:val="8EEA0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FF917EC"/>
    <w:multiLevelType w:val="hybridMultilevel"/>
    <w:tmpl w:val="79A06FB2"/>
    <w:lvl w:ilvl="0" w:tplc="A66AACB8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5C761E1"/>
    <w:multiLevelType w:val="hybridMultilevel"/>
    <w:tmpl w:val="C7E64786"/>
    <w:lvl w:ilvl="0" w:tplc="0402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>
    <w:nsid w:val="6D521ED8"/>
    <w:multiLevelType w:val="hybridMultilevel"/>
    <w:tmpl w:val="C8DE68C6"/>
    <w:lvl w:ilvl="0" w:tplc="B20E4BF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 Narrow" w:eastAsia="SimSu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6CA6592"/>
    <w:multiLevelType w:val="hybridMultilevel"/>
    <w:tmpl w:val="DD627E7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BA70877"/>
    <w:multiLevelType w:val="hybridMultilevel"/>
    <w:tmpl w:val="BB2875BE"/>
    <w:lvl w:ilvl="0" w:tplc="0402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F454FFE"/>
    <w:multiLevelType w:val="hybridMultilevel"/>
    <w:tmpl w:val="C4E2B9B6"/>
    <w:lvl w:ilvl="0" w:tplc="5078A484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18"/>
  </w:num>
  <w:num w:numId="12">
    <w:abstractNumId w:val="9"/>
  </w:num>
  <w:num w:numId="13">
    <w:abstractNumId w:val="5"/>
  </w:num>
  <w:num w:numId="14">
    <w:abstractNumId w:val="17"/>
  </w:num>
  <w:num w:numId="15">
    <w:abstractNumId w:val="11"/>
  </w:num>
  <w:num w:numId="16">
    <w:abstractNumId w:val="21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3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C90"/>
    <w:rsid w:val="000231B0"/>
    <w:rsid w:val="00031BFD"/>
    <w:rsid w:val="000717C5"/>
    <w:rsid w:val="000C1ABB"/>
    <w:rsid w:val="000F5E64"/>
    <w:rsid w:val="001747A4"/>
    <w:rsid w:val="001939B8"/>
    <w:rsid w:val="0023175A"/>
    <w:rsid w:val="00234729"/>
    <w:rsid w:val="00242B34"/>
    <w:rsid w:val="002A31BE"/>
    <w:rsid w:val="002B033A"/>
    <w:rsid w:val="002E1B2F"/>
    <w:rsid w:val="003C068B"/>
    <w:rsid w:val="003F31FC"/>
    <w:rsid w:val="004723FB"/>
    <w:rsid w:val="00474ACE"/>
    <w:rsid w:val="004D5C4D"/>
    <w:rsid w:val="004F1606"/>
    <w:rsid w:val="00770A9C"/>
    <w:rsid w:val="008715CA"/>
    <w:rsid w:val="00984B7B"/>
    <w:rsid w:val="009F2832"/>
    <w:rsid w:val="00A666CF"/>
    <w:rsid w:val="00AD0329"/>
    <w:rsid w:val="00AD5BDE"/>
    <w:rsid w:val="00AF681C"/>
    <w:rsid w:val="00B76C90"/>
    <w:rsid w:val="00BB4E5A"/>
    <w:rsid w:val="00C75FCE"/>
    <w:rsid w:val="00CA7FE1"/>
    <w:rsid w:val="00DC28A0"/>
    <w:rsid w:val="00DD5257"/>
    <w:rsid w:val="00E07E7C"/>
    <w:rsid w:val="00EB67BF"/>
    <w:rsid w:val="00F20BB3"/>
    <w:rsid w:val="00F33956"/>
    <w:rsid w:val="00F45F76"/>
    <w:rsid w:val="00F7153B"/>
    <w:rsid w:val="00FE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F45F76"/>
    <w:pPr>
      <w:keepNext/>
      <w:suppressAutoHyphens/>
      <w:spacing w:before="120"/>
      <w:ind w:firstLine="709"/>
      <w:jc w:val="both"/>
      <w:outlineLvl w:val="3"/>
    </w:pPr>
    <w:rPr>
      <w:rFonts w:ascii="Arial" w:hAnsi="Arial" w:cs="Arial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6C90"/>
    <w:pPr>
      <w:suppressAutoHyphens/>
      <w:ind w:firstLine="851"/>
      <w:jc w:val="both"/>
    </w:pPr>
    <w:rPr>
      <w:sz w:val="26"/>
      <w:szCs w:val="20"/>
      <w:lang w:eastAsia="ar-SA"/>
    </w:rPr>
  </w:style>
  <w:style w:type="character" w:customStyle="1" w:styleId="a4">
    <w:name w:val="Основен текст с отстъп Знак"/>
    <w:basedOn w:val="a0"/>
    <w:link w:val="a3"/>
    <w:rsid w:val="00B76C90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3">
    <w:name w:val="Body Text Indent 3"/>
    <w:basedOn w:val="a"/>
    <w:link w:val="30"/>
    <w:rsid w:val="00B76C90"/>
    <w:pPr>
      <w:suppressAutoHyphens/>
      <w:spacing w:before="120"/>
      <w:ind w:firstLine="709"/>
      <w:jc w:val="both"/>
    </w:pPr>
    <w:rPr>
      <w:szCs w:val="20"/>
      <w:lang w:eastAsia="ar-SA"/>
    </w:rPr>
  </w:style>
  <w:style w:type="character" w:customStyle="1" w:styleId="30">
    <w:name w:val="Основен текст с отстъп 3 Знак"/>
    <w:basedOn w:val="a0"/>
    <w:link w:val="3"/>
    <w:rsid w:val="00B76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rsid w:val="00DC28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1A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лавие 4 Знак"/>
    <w:basedOn w:val="a0"/>
    <w:link w:val="4"/>
    <w:rsid w:val="00F45F76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45F7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45F76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header"/>
    <w:basedOn w:val="a"/>
    <w:link w:val="aa"/>
    <w:uiPriority w:val="99"/>
    <w:semiHidden/>
    <w:unhideWhenUsed/>
    <w:rsid w:val="000231B0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0231B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0231B0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0231B0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alkazanlak@mail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4.8706240487062395E-2"/>
          <c:y val="9.4170403587444107E-2"/>
          <c:w val="0.71080669710806765"/>
          <c:h val="0.829596412556054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Изток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50" b="1" i="0" u="none" strike="noStrike" baseline="-2500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bg-BG"/>
              </a:p>
            </c:txPr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Медикаменти</c:v>
                </c:pt>
                <c:pt idx="1">
                  <c:v>Консумативи</c:v>
                </c:pt>
                <c:pt idx="2">
                  <c:v>Ел. енергия</c:v>
                </c:pt>
                <c:pt idx="3">
                  <c:v>Вода</c:v>
                </c:pt>
                <c:pt idx="4">
                  <c:v>Газьол</c:v>
                </c:pt>
                <c:pt idx="5">
                  <c:v>други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405</c:v>
                </c:pt>
                <c:pt idx="1">
                  <c:v>352</c:v>
                </c:pt>
                <c:pt idx="2">
                  <c:v>65</c:v>
                </c:pt>
                <c:pt idx="3">
                  <c:v>26</c:v>
                </c:pt>
                <c:pt idx="4">
                  <c:v>43</c:v>
                </c:pt>
                <c:pt idx="5">
                  <c:v>101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Медикаменти</c:v>
                </c:pt>
                <c:pt idx="1">
                  <c:v>Консумативи</c:v>
                </c:pt>
                <c:pt idx="2">
                  <c:v>Ел. енергия</c:v>
                </c:pt>
                <c:pt idx="3">
                  <c:v>Вода</c:v>
                </c:pt>
                <c:pt idx="4">
                  <c:v>Газьол</c:v>
                </c:pt>
                <c:pt idx="5">
                  <c:v>други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Медикаменти</c:v>
                </c:pt>
                <c:pt idx="1">
                  <c:v>Консумативи</c:v>
                </c:pt>
                <c:pt idx="2">
                  <c:v>Ел. енергия</c:v>
                </c:pt>
                <c:pt idx="3">
                  <c:v>Вода</c:v>
                </c:pt>
                <c:pt idx="4">
                  <c:v>Газьол</c:v>
                </c:pt>
                <c:pt idx="5">
                  <c:v>други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80060882800605"/>
          <c:y val="0.31390134529148017"/>
          <c:w val="0.16590563165905636"/>
          <c:h val="0.4843049327354264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.14789915966386571"/>
          <c:y val="0.15533980582524293"/>
          <c:w val="0.53445378151260403"/>
          <c:h val="0.644012944983818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ВЪНШНИ УСЛУГИ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ТРАНСПОРТ</c:v>
                </c:pt>
                <c:pt idx="1">
                  <c:v>ЛАБОР. ИЗСЛЕДВАНИЯ</c:v>
                </c:pt>
                <c:pt idx="2">
                  <c:v>ХРАНА ПАЦИЕНТИ</c:v>
                </c:pt>
                <c:pt idx="3">
                  <c:v>ПРАНЕ</c:v>
                </c:pt>
                <c:pt idx="4">
                  <c:v>ДРУГИ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55</c:v>
                </c:pt>
                <c:pt idx="1">
                  <c:v>35</c:v>
                </c:pt>
                <c:pt idx="2">
                  <c:v>112</c:v>
                </c:pt>
                <c:pt idx="3">
                  <c:v>38</c:v>
                </c:pt>
                <c:pt idx="4">
                  <c:v>219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ТРАНСПОРТ</c:v>
                </c:pt>
                <c:pt idx="1">
                  <c:v>ЛАБОР. ИЗСЛЕДВАНИЯ</c:v>
                </c:pt>
                <c:pt idx="2">
                  <c:v>ХРАНА ПАЦИЕНТИ</c:v>
                </c:pt>
                <c:pt idx="3">
                  <c:v>ПРАНЕ</c:v>
                </c:pt>
                <c:pt idx="4">
                  <c:v>ДРУГИ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ТРАНСПОРТ</c:v>
                </c:pt>
                <c:pt idx="1">
                  <c:v>ЛАБОР. ИЗСЛЕДВАНИЯ</c:v>
                </c:pt>
                <c:pt idx="2">
                  <c:v>ХРАНА ПАЦИЕНТИ</c:v>
                </c:pt>
                <c:pt idx="3">
                  <c:v>ПРАНЕ</c:v>
                </c:pt>
                <c:pt idx="4">
                  <c:v>ДРУГИ 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Century Gothic"/>
                <a:ea typeface="Century Gothic"/>
                <a:cs typeface="Century Gothic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Century Gothic"/>
                <a:ea typeface="Century Gothic"/>
                <a:cs typeface="Century Gothic"/>
              </a:defRPr>
            </a:pPr>
            <a:endParaRPr lang="bg-BG"/>
          </a:p>
        </c:txPr>
      </c:legendEntry>
      <c:legendEntry>
        <c:idx val="2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Century Gothic"/>
                <a:ea typeface="Century Gothic"/>
                <a:cs typeface="Century Gothic"/>
              </a:defRPr>
            </a:pPr>
            <a:endParaRPr lang="bg-BG"/>
          </a:p>
        </c:txPr>
      </c:legendEntry>
      <c:legendEntry>
        <c:idx val="3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Century Gothic"/>
                <a:ea typeface="Century Gothic"/>
                <a:cs typeface="Century Gothic"/>
              </a:defRPr>
            </a:pPr>
            <a:endParaRPr lang="bg-BG"/>
          </a:p>
        </c:txPr>
      </c:legendEntry>
      <c:legendEntry>
        <c:idx val="4"/>
        <c:txPr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Century Gothic"/>
                <a:ea typeface="Century Gothic"/>
                <a:cs typeface="Century Gothic"/>
              </a:defRPr>
            </a:pPr>
            <a:endParaRPr lang="bg-BG"/>
          </a:p>
        </c:txPr>
      </c:legendEntry>
      <c:layout>
        <c:manualLayout>
          <c:xMode val="edge"/>
          <c:yMode val="edge"/>
          <c:x val="0.78823529411764659"/>
          <c:y val="0.37216828478964492"/>
          <c:w val="0.20672268907563024"/>
          <c:h val="0.4789644012944990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Nenova</dc:creator>
  <cp:lastModifiedBy>Nenova</cp:lastModifiedBy>
  <cp:revision>16</cp:revision>
  <cp:lastPrinted>2016-10-21T05:51:00Z</cp:lastPrinted>
  <dcterms:created xsi:type="dcterms:W3CDTF">2016-06-30T11:41:00Z</dcterms:created>
  <dcterms:modified xsi:type="dcterms:W3CDTF">2016-10-28T11:19:00Z</dcterms:modified>
</cp:coreProperties>
</file>